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64" w:lineRule="auto"/>
      </w:pPr>
      <w:r>
        <w:drawing>
          <wp:anchor distT="0" distB="0" distL="0" distR="0" simplePos="0" relativeHeight="251659264" behindDoc="0" locked="0" layoutInCell="0" allowOverlap="1">
            <wp:simplePos x="0" y="0"/>
            <wp:positionH relativeFrom="page">
              <wp:posOffset>3517265</wp:posOffset>
            </wp:positionH>
            <wp:positionV relativeFrom="page">
              <wp:posOffset>513715</wp:posOffset>
            </wp:positionV>
            <wp:extent cx="1244600" cy="64770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16"/>
                    <a:stretch>
                      <a:fillRect/>
                    </a:stretch>
                  </pic:blipFill>
                  <pic:spPr>
                    <a:xfrm>
                      <a:off x="0" y="0"/>
                      <a:ext cx="1244626" cy="647730"/>
                    </a:xfrm>
                    <a:prstGeom prst="rect">
                      <a:avLst/>
                    </a:prstGeom>
                  </pic:spPr>
                </pic:pic>
              </a:graphicData>
            </a:graphic>
          </wp:anchor>
        </w:drawing>
      </w:r>
    </w:p>
    <w:p>
      <w:pPr>
        <w:pStyle w:val="2"/>
        <w:spacing w:line="264" w:lineRule="auto"/>
      </w:pPr>
    </w:p>
    <w:p>
      <w:pPr>
        <w:spacing w:before="94" w:line="222" w:lineRule="auto"/>
        <w:ind w:left="1534"/>
        <w:rPr>
          <w:rFonts w:ascii="黑体" w:hAnsi="黑体" w:eastAsia="黑体" w:cs="黑体"/>
          <w:sz w:val="29"/>
          <w:szCs w:val="29"/>
        </w:rPr>
      </w:pPr>
      <w:r>
        <w:rPr>
          <w:rFonts w:ascii="黑体" w:hAnsi="黑体" w:eastAsia="黑体" w:cs="黑体"/>
          <w:b/>
          <w:bCs/>
          <w:spacing w:val="16"/>
          <w:sz w:val="29"/>
          <w:szCs w:val="29"/>
        </w:rPr>
        <w:t>上海市工程建设规范</w:t>
      </w:r>
    </w:p>
    <w:p>
      <w:pPr>
        <w:pStyle w:val="2"/>
        <w:spacing w:before="186" w:line="267" w:lineRule="auto"/>
        <w:ind w:left="5091" w:right="43" w:hanging="771"/>
        <w:rPr>
          <w:sz w:val="28"/>
          <w:szCs w:val="28"/>
        </w:rPr>
      </w:pPr>
      <w:r>
        <w:drawing>
          <wp:anchor distT="0" distB="0" distL="0" distR="0" simplePos="0" relativeHeight="251660288" behindDoc="0" locked="0" layoutInCell="1" allowOverlap="1">
            <wp:simplePos x="0" y="0"/>
            <wp:positionH relativeFrom="column">
              <wp:posOffset>0</wp:posOffset>
            </wp:positionH>
            <wp:positionV relativeFrom="paragraph">
              <wp:posOffset>505460</wp:posOffset>
            </wp:positionV>
            <wp:extent cx="4277995" cy="889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17"/>
                    <a:stretch>
                      <a:fillRect/>
                    </a:stretch>
                  </pic:blipFill>
                  <pic:spPr>
                    <a:xfrm>
                      <a:off x="0" y="0"/>
                      <a:ext cx="4277681" cy="8890"/>
                    </a:xfrm>
                    <a:prstGeom prst="rect">
                      <a:avLst/>
                    </a:prstGeom>
                  </pic:spPr>
                </pic:pic>
              </a:graphicData>
            </a:graphic>
          </wp:anchor>
        </w:drawing>
      </w:r>
      <w:r>
        <w:rPr>
          <w:b/>
          <w:bCs/>
          <w:spacing w:val="-3"/>
          <w:sz w:val="29"/>
          <w:szCs w:val="29"/>
        </w:rPr>
        <w:t>DG/TJ08-94-2024</w:t>
      </w:r>
      <w:r>
        <w:rPr>
          <w:b/>
          <w:bCs/>
          <w:spacing w:val="-1"/>
          <w:sz w:val="28"/>
          <w:szCs w:val="28"/>
        </w:rPr>
        <w:t>J11056-2024</w:t>
      </w:r>
    </w:p>
    <w:p>
      <w:pPr>
        <w:pStyle w:val="2"/>
        <w:spacing w:line="259" w:lineRule="auto"/>
      </w:pPr>
    </w:p>
    <w:p>
      <w:pPr>
        <w:pStyle w:val="2"/>
        <w:spacing w:line="260" w:lineRule="auto"/>
      </w:pPr>
    </w:p>
    <w:p>
      <w:pPr>
        <w:pStyle w:val="2"/>
        <w:spacing w:line="260" w:lineRule="auto"/>
      </w:pPr>
    </w:p>
    <w:p>
      <w:pPr>
        <w:spacing w:before="143" w:line="221" w:lineRule="auto"/>
        <w:ind w:left="626"/>
        <w:outlineLvl w:val="0"/>
        <w:rPr>
          <w:rFonts w:ascii="黑体" w:hAnsi="黑体" w:eastAsia="黑体" w:cs="黑体"/>
          <w:sz w:val="44"/>
          <w:szCs w:val="44"/>
        </w:rPr>
      </w:pPr>
      <w:r>
        <w:rPr>
          <w:rFonts w:ascii="黑体" w:hAnsi="黑体" w:eastAsia="黑体" w:cs="黑体"/>
          <w:b/>
          <w:bCs/>
          <w:spacing w:val="1"/>
          <w:sz w:val="44"/>
          <w:szCs w:val="44"/>
        </w:rPr>
        <w:t>民用建筑水灭火系统设计标准</w:t>
      </w:r>
    </w:p>
    <w:p>
      <w:pPr>
        <w:pStyle w:val="2"/>
        <w:spacing w:before="95" w:line="198" w:lineRule="auto"/>
        <w:ind w:left="610"/>
        <w:rPr>
          <w:sz w:val="19"/>
          <w:szCs w:val="19"/>
        </w:rPr>
      </w:pPr>
      <w:r>
        <w:rPr>
          <w:b/>
          <w:bCs/>
          <w:spacing w:val="-5"/>
          <w:sz w:val="19"/>
          <w:szCs w:val="19"/>
        </w:rPr>
        <w:t>Standardfordesignofwaterextinguishingsystemofcivilbuildings</w:t>
      </w: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3" w:lineRule="auto"/>
      </w:pPr>
    </w:p>
    <w:p>
      <w:pPr>
        <w:pStyle w:val="2"/>
        <w:spacing w:line="243" w:lineRule="auto"/>
      </w:pPr>
    </w:p>
    <w:p>
      <w:pPr>
        <w:spacing w:before="95" w:line="233" w:lineRule="auto"/>
        <w:ind w:left="54"/>
        <w:rPr>
          <w:rFonts w:ascii="黑体" w:hAnsi="黑体" w:eastAsia="黑体" w:cs="黑体"/>
          <w:sz w:val="29"/>
          <w:szCs w:val="29"/>
        </w:rPr>
      </w:pPr>
      <w:r>
        <w:rPr>
          <w:rFonts w:ascii="宋体" w:hAnsi="宋体" w:eastAsia="宋体" w:cs="宋体"/>
          <w:b/>
          <w:bCs/>
          <w:spacing w:val="-4"/>
          <w:sz w:val="29"/>
          <w:szCs w:val="29"/>
        </w:rPr>
        <w:t>2024-04-30</w:t>
      </w:r>
      <w:r>
        <w:rPr>
          <w:rFonts w:ascii="黑体" w:hAnsi="黑体" w:eastAsia="黑体" w:cs="黑体"/>
          <w:b/>
          <w:bCs/>
          <w:spacing w:val="-4"/>
          <w:sz w:val="29"/>
          <w:szCs w:val="29"/>
        </w:rPr>
        <w:t>发布</w:t>
      </w:r>
      <w:r>
        <w:rPr>
          <w:rFonts w:ascii="宋体" w:hAnsi="宋体" w:eastAsia="宋体" w:cs="宋体"/>
          <w:b/>
          <w:bCs/>
          <w:spacing w:val="-4"/>
          <w:sz w:val="29"/>
          <w:szCs w:val="29"/>
        </w:rPr>
        <w:t>2024-10-01</w:t>
      </w:r>
      <w:r>
        <w:rPr>
          <w:rFonts w:ascii="黑体" w:hAnsi="黑体" w:eastAsia="黑体" w:cs="黑体"/>
          <w:b/>
          <w:bCs/>
          <w:spacing w:val="-4"/>
          <w:sz w:val="29"/>
          <w:szCs w:val="29"/>
        </w:rPr>
        <w:t>实施</w:t>
      </w:r>
    </w:p>
    <w:p>
      <w:pPr>
        <w:pStyle w:val="2"/>
        <w:spacing w:line="242" w:lineRule="auto"/>
      </w:pPr>
      <w:r>
        <w:drawing>
          <wp:anchor distT="0" distB="0" distL="0" distR="0" simplePos="0" relativeHeight="251661312" behindDoc="0" locked="0" layoutInCell="1" allowOverlap="1">
            <wp:simplePos x="0" y="0"/>
            <wp:positionH relativeFrom="column">
              <wp:posOffset>0</wp:posOffset>
            </wp:positionH>
            <wp:positionV relativeFrom="paragraph">
              <wp:posOffset>42545</wp:posOffset>
            </wp:positionV>
            <wp:extent cx="4330700" cy="63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18"/>
                    <a:stretch>
                      <a:fillRect/>
                    </a:stretch>
                  </pic:blipFill>
                  <pic:spPr>
                    <a:xfrm>
                      <a:off x="0" y="0"/>
                      <a:ext cx="4330744" cy="6395"/>
                    </a:xfrm>
                    <a:prstGeom prst="rect">
                      <a:avLst/>
                    </a:prstGeom>
                  </pic:spPr>
                </pic:pic>
              </a:graphicData>
            </a:graphic>
          </wp:anchor>
        </w:drawing>
      </w:r>
    </w:p>
    <w:p>
      <w:pPr>
        <w:pStyle w:val="2"/>
        <w:spacing w:line="242" w:lineRule="auto"/>
      </w:pPr>
    </w:p>
    <w:p>
      <w:pPr>
        <w:pStyle w:val="2"/>
        <w:spacing w:line="242" w:lineRule="auto"/>
      </w:pPr>
    </w:p>
    <w:p>
      <w:pPr>
        <w:pStyle w:val="2"/>
        <w:spacing w:line="242" w:lineRule="auto"/>
      </w:pPr>
    </w:p>
    <w:p>
      <w:pPr>
        <w:pStyle w:val="2"/>
        <w:spacing w:line="242" w:lineRule="auto"/>
      </w:pPr>
    </w:p>
    <w:p>
      <w:pPr>
        <w:spacing w:before="94" w:line="220" w:lineRule="auto"/>
        <w:ind w:left="524"/>
        <w:rPr>
          <w:rFonts w:ascii="黑体" w:hAnsi="黑体" w:eastAsia="黑体" w:cs="黑体"/>
          <w:sz w:val="29"/>
          <w:szCs w:val="29"/>
        </w:rPr>
      </w:pPr>
      <w:r>
        <w:rPr>
          <w:rFonts w:ascii="黑体" w:hAnsi="黑体" w:eastAsia="黑体" w:cs="黑体"/>
          <w:b/>
          <w:bCs/>
          <w:spacing w:val="39"/>
          <w:sz w:val="29"/>
          <w:szCs w:val="29"/>
        </w:rPr>
        <w:t>上海市住房和城乡建设管理委员会发布</w:t>
      </w:r>
    </w:p>
    <w:p>
      <w:pPr>
        <w:spacing w:line="220" w:lineRule="auto"/>
        <w:rPr>
          <w:rFonts w:ascii="黑体" w:hAnsi="黑体" w:eastAsia="黑体" w:cs="黑体"/>
          <w:sz w:val="29"/>
          <w:szCs w:val="29"/>
        </w:rPr>
        <w:sectPr>
          <w:pgSz w:w="8280" w:h="11850"/>
          <w:pgMar w:top="809" w:right="729" w:bottom="0" w:left="729" w:header="0" w:footer="0" w:gutter="0"/>
          <w:cols w:space="720" w:num="1"/>
        </w:sectPr>
      </w:pPr>
    </w:p>
    <w:p>
      <w:pPr>
        <w:pStyle w:val="2"/>
        <w:spacing w:line="287" w:lineRule="auto"/>
      </w:pPr>
    </w:p>
    <w:p>
      <w:pPr>
        <w:pStyle w:val="2"/>
        <w:spacing w:line="287" w:lineRule="auto"/>
      </w:pPr>
    </w:p>
    <w:p>
      <w:pPr>
        <w:pStyle w:val="2"/>
        <w:spacing w:line="288" w:lineRule="auto"/>
      </w:pPr>
    </w:p>
    <w:p>
      <w:pPr>
        <w:spacing w:before="91" w:line="222" w:lineRule="auto"/>
        <w:ind w:left="1642"/>
        <w:rPr>
          <w:rFonts w:ascii="黑体" w:hAnsi="黑体" w:eastAsia="黑体" w:cs="黑体"/>
          <w:sz w:val="28"/>
          <w:szCs w:val="28"/>
        </w:rPr>
      </w:pPr>
      <w:r>
        <w:rPr>
          <w:rFonts w:ascii="黑体" w:hAnsi="黑体" w:eastAsia="黑体" w:cs="黑体"/>
          <w:b/>
          <w:bCs/>
          <w:spacing w:val="-5"/>
          <w:sz w:val="28"/>
          <w:szCs w:val="28"/>
        </w:rPr>
        <w:t>上海市工程建设规范</w:t>
      </w:r>
    </w:p>
    <w:p>
      <w:pPr>
        <w:pStyle w:val="2"/>
        <w:spacing w:line="354" w:lineRule="auto"/>
      </w:pPr>
    </w:p>
    <w:p>
      <w:pPr>
        <w:pStyle w:val="2"/>
        <w:spacing w:line="354" w:lineRule="auto"/>
      </w:pPr>
    </w:p>
    <w:p>
      <w:pPr>
        <w:spacing w:before="100" w:line="221" w:lineRule="auto"/>
        <w:ind w:left="852"/>
        <w:rPr>
          <w:rFonts w:ascii="黑体" w:hAnsi="黑体" w:eastAsia="黑体" w:cs="黑体"/>
          <w:sz w:val="31"/>
          <w:szCs w:val="31"/>
        </w:rPr>
      </w:pPr>
      <w:r>
        <w:rPr>
          <w:rFonts w:ascii="黑体" w:hAnsi="黑体" w:eastAsia="黑体" w:cs="黑体"/>
          <w:b/>
          <w:bCs/>
          <w:spacing w:val="-2"/>
          <w:sz w:val="31"/>
          <w:szCs w:val="31"/>
        </w:rPr>
        <w:t>民用建筑水灭火系统设计标准</w:t>
      </w:r>
    </w:p>
    <w:p>
      <w:pPr>
        <w:pStyle w:val="2"/>
        <w:spacing w:before="271" w:line="198" w:lineRule="auto"/>
        <w:ind w:left="587"/>
        <w:rPr>
          <w:sz w:val="15"/>
          <w:szCs w:val="15"/>
        </w:rPr>
      </w:pPr>
      <w:r>
        <w:rPr>
          <w:b/>
          <w:bCs/>
          <w:spacing w:val="-3"/>
          <w:sz w:val="15"/>
          <w:szCs w:val="15"/>
        </w:rPr>
        <w:t>Standardfordesignofwaterextinguishingsystemofcivilbuildings</w:t>
      </w:r>
    </w:p>
    <w:p>
      <w:pPr>
        <w:pStyle w:val="2"/>
        <w:spacing w:line="339" w:lineRule="auto"/>
      </w:pPr>
    </w:p>
    <w:p>
      <w:pPr>
        <w:spacing w:before="60" w:line="189" w:lineRule="auto"/>
        <w:ind w:left="1927"/>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DG/TJ08—94—2024</w:t>
      </w:r>
    </w:p>
    <w:p>
      <w:pPr>
        <w:spacing w:before="90" w:line="188" w:lineRule="auto"/>
        <w:ind w:left="2227"/>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J11056—2024</w:t>
      </w:r>
    </w:p>
    <w:p>
      <w:pPr>
        <w:pStyle w:val="2"/>
        <w:spacing w:line="265" w:lineRule="auto"/>
      </w:pPr>
    </w:p>
    <w:p>
      <w:pPr>
        <w:spacing w:before="69" w:line="219" w:lineRule="auto"/>
        <w:ind w:left="848"/>
        <w:rPr>
          <w:rFonts w:ascii="宋体" w:hAnsi="宋体" w:eastAsia="宋体" w:cs="宋体"/>
          <w:sz w:val="21"/>
          <w:szCs w:val="21"/>
        </w:rPr>
      </w:pPr>
      <w:r>
        <w:rPr>
          <w:rFonts w:ascii="宋体" w:hAnsi="宋体" w:eastAsia="宋体" w:cs="宋体"/>
          <w:spacing w:val="-6"/>
          <w:sz w:val="21"/>
          <w:szCs w:val="21"/>
        </w:rPr>
        <w:t>主编单位：华东建筑设计研究院有限公司</w:t>
      </w:r>
    </w:p>
    <w:p>
      <w:pPr>
        <w:spacing w:before="61" w:line="219" w:lineRule="auto"/>
        <w:ind w:left="848"/>
        <w:rPr>
          <w:rFonts w:ascii="宋体" w:hAnsi="宋体" w:eastAsia="宋体" w:cs="宋体"/>
          <w:sz w:val="21"/>
          <w:szCs w:val="21"/>
        </w:rPr>
      </w:pPr>
      <w:r>
        <w:rPr>
          <w:rFonts w:ascii="宋体" w:hAnsi="宋体" w:eastAsia="宋体" w:cs="宋体"/>
          <w:spacing w:val="-5"/>
          <w:sz w:val="21"/>
          <w:szCs w:val="21"/>
        </w:rPr>
        <w:t>批准部门：上海市住房和城乡建设管理委员会</w:t>
      </w:r>
    </w:p>
    <w:p>
      <w:pPr>
        <w:spacing w:before="72" w:line="219" w:lineRule="auto"/>
        <w:ind w:left="848"/>
        <w:rPr>
          <w:rFonts w:ascii="宋体" w:hAnsi="宋体" w:eastAsia="宋体" w:cs="宋体"/>
          <w:sz w:val="21"/>
          <w:szCs w:val="21"/>
        </w:rPr>
      </w:pPr>
      <w:r>
        <w:rPr>
          <w:rFonts w:ascii="宋体" w:hAnsi="宋体" w:eastAsia="宋体" w:cs="宋体"/>
          <w:spacing w:val="12"/>
          <w:sz w:val="21"/>
          <w:szCs w:val="21"/>
        </w:rPr>
        <w:t>施行日期：2024年10月1日</w:t>
      </w:r>
    </w:p>
    <w:p>
      <w:pPr>
        <w:pStyle w:val="2"/>
        <w:spacing w:line="246" w:lineRule="auto"/>
      </w:pPr>
    </w:p>
    <w:p>
      <w:pPr>
        <w:pStyle w:val="2"/>
        <w:spacing w:line="246" w:lineRule="auto"/>
      </w:pPr>
    </w:p>
    <w:p>
      <w:pPr>
        <w:pStyle w:val="2"/>
        <w:spacing w:line="246" w:lineRule="auto"/>
      </w:pPr>
    </w:p>
    <w:p>
      <w:pPr>
        <w:pStyle w:val="2"/>
        <w:spacing w:line="246"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spacing w:before="69" w:line="221" w:lineRule="auto"/>
        <w:ind w:left="2071"/>
        <w:rPr>
          <w:rFonts w:ascii="仿宋" w:hAnsi="仿宋" w:eastAsia="仿宋" w:cs="仿宋"/>
          <w:sz w:val="21"/>
          <w:szCs w:val="21"/>
        </w:rPr>
      </w:pPr>
      <w:r>
        <w:rPr>
          <w:rFonts w:ascii="仿宋" w:hAnsi="仿宋" w:eastAsia="仿宋" w:cs="仿宋"/>
          <w:b/>
          <w:bCs/>
          <w:spacing w:val="22"/>
          <w:sz w:val="21"/>
          <w:szCs w:val="21"/>
        </w:rPr>
        <w:t>同济大学出版社</w:t>
      </w:r>
    </w:p>
    <w:p>
      <w:pPr>
        <w:spacing w:line="221" w:lineRule="auto"/>
        <w:rPr>
          <w:rFonts w:ascii="仿宋" w:hAnsi="仿宋" w:eastAsia="仿宋" w:cs="仿宋"/>
          <w:sz w:val="21"/>
          <w:szCs w:val="21"/>
        </w:rPr>
        <w:sectPr>
          <w:footerReference r:id="rId5" w:type="default"/>
          <w:pgSz w:w="8280" w:h="11850"/>
          <w:pgMar w:top="1007" w:right="1242" w:bottom="1742" w:left="1242" w:header="0" w:footer="1491" w:gutter="0"/>
          <w:cols w:space="720" w:num="1"/>
        </w:sectPr>
      </w:pPr>
    </w:p>
    <w:p>
      <w:pPr>
        <w:pStyle w:val="2"/>
        <w:spacing w:line="265" w:lineRule="auto"/>
      </w:pPr>
    </w:p>
    <w:p>
      <w:pPr>
        <w:pStyle w:val="2"/>
        <w:spacing w:line="266" w:lineRule="auto"/>
      </w:pPr>
    </w:p>
    <w:p>
      <w:pPr>
        <w:spacing w:before="94" w:line="219" w:lineRule="auto"/>
        <w:ind w:left="663"/>
        <w:rPr>
          <w:rFonts w:ascii="宋体" w:hAnsi="宋体" w:eastAsia="宋体" w:cs="宋体"/>
          <w:sz w:val="29"/>
          <w:szCs w:val="29"/>
        </w:rPr>
      </w:pPr>
      <w:r>
        <w:rPr>
          <w:rFonts w:ascii="宋体" w:hAnsi="宋体" w:eastAsia="宋体" w:cs="宋体"/>
          <w:b/>
          <w:bCs/>
          <w:spacing w:val="-13"/>
          <w:sz w:val="29"/>
          <w:szCs w:val="29"/>
        </w:rPr>
        <w:t>上海市住房和城乡建设管理委员会文件</w:t>
      </w:r>
    </w:p>
    <w:p>
      <w:pPr>
        <w:pStyle w:val="2"/>
        <w:spacing w:line="353" w:lineRule="auto"/>
      </w:pPr>
    </w:p>
    <w:p>
      <w:pPr>
        <w:spacing w:before="72" w:line="219" w:lineRule="auto"/>
        <w:ind w:left="2019"/>
        <w:rPr>
          <w:rFonts w:ascii="宋体" w:hAnsi="宋体" w:eastAsia="宋体" w:cs="宋体"/>
          <w:sz w:val="22"/>
          <w:szCs w:val="22"/>
        </w:rPr>
      </w:pPr>
      <w:r>
        <w:rPr>
          <w:rFonts w:ascii="宋体" w:hAnsi="宋体" w:eastAsia="宋体" w:cs="宋体"/>
          <w:spacing w:val="-17"/>
          <w:sz w:val="22"/>
          <w:szCs w:val="22"/>
        </w:rPr>
        <w:t>沪建标定〔2024〕214号</w:t>
      </w:r>
    </w:p>
    <w:p>
      <w:pPr>
        <w:spacing w:before="151" w:line="30" w:lineRule="exact"/>
        <w:ind w:firstLine="120"/>
      </w:pPr>
      <w:r>
        <w:drawing>
          <wp:inline distT="0" distB="0" distL="0" distR="0">
            <wp:extent cx="3714115" cy="190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19"/>
                    <a:stretch>
                      <a:fillRect/>
                    </a:stretch>
                  </pic:blipFill>
                  <pic:spPr>
                    <a:xfrm>
                      <a:off x="0" y="0"/>
                      <a:ext cx="3714740" cy="19112"/>
                    </a:xfrm>
                    <a:prstGeom prst="rect">
                      <a:avLst/>
                    </a:prstGeom>
                  </pic:spPr>
                </pic:pic>
              </a:graphicData>
            </a:graphic>
          </wp:inline>
        </w:drawing>
      </w:r>
    </w:p>
    <w:p>
      <w:pPr>
        <w:pStyle w:val="2"/>
        <w:spacing w:line="468" w:lineRule="auto"/>
      </w:pPr>
    </w:p>
    <w:p>
      <w:pPr>
        <w:spacing w:before="72" w:line="220" w:lineRule="auto"/>
        <w:ind w:left="753"/>
        <w:rPr>
          <w:rFonts w:ascii="黑体" w:hAnsi="黑体" w:eastAsia="黑体" w:cs="黑体"/>
          <w:sz w:val="22"/>
          <w:szCs w:val="22"/>
        </w:rPr>
      </w:pPr>
      <w:r>
        <w:rPr>
          <w:rFonts w:ascii="黑体" w:hAnsi="黑体" w:eastAsia="黑体" w:cs="黑体"/>
          <w:b/>
          <w:bCs/>
          <w:spacing w:val="19"/>
          <w:sz w:val="22"/>
          <w:szCs w:val="22"/>
        </w:rPr>
        <w:t>上海市住房和城乡建设管理委员会关于批准</w:t>
      </w:r>
    </w:p>
    <w:p>
      <w:pPr>
        <w:spacing w:before="78" w:line="221" w:lineRule="auto"/>
        <w:ind w:left="1123"/>
        <w:rPr>
          <w:rFonts w:ascii="黑体" w:hAnsi="黑体" w:eastAsia="黑体" w:cs="黑体"/>
          <w:sz w:val="22"/>
          <w:szCs w:val="22"/>
        </w:rPr>
      </w:pPr>
      <w:r>
        <w:rPr>
          <w:rFonts w:ascii="黑体" w:hAnsi="黑体" w:eastAsia="黑体" w:cs="黑体"/>
          <w:b/>
          <w:bCs/>
          <w:spacing w:val="9"/>
          <w:sz w:val="22"/>
          <w:szCs w:val="22"/>
        </w:rPr>
        <w:t>《民用建筑水灭火系统设计标准》为</w:t>
      </w:r>
    </w:p>
    <w:p>
      <w:pPr>
        <w:spacing w:before="77" w:line="222" w:lineRule="auto"/>
        <w:ind w:left="1593"/>
        <w:rPr>
          <w:rFonts w:ascii="黑体" w:hAnsi="黑体" w:eastAsia="黑体" w:cs="黑体"/>
          <w:sz w:val="22"/>
          <w:szCs w:val="22"/>
        </w:rPr>
      </w:pPr>
      <w:r>
        <w:rPr>
          <w:rFonts w:ascii="黑体" w:hAnsi="黑体" w:eastAsia="黑体" w:cs="黑体"/>
          <w:b/>
          <w:bCs/>
          <w:spacing w:val="18"/>
          <w:sz w:val="22"/>
          <w:szCs w:val="22"/>
        </w:rPr>
        <w:t>上海市工程建设规范的通知</w:t>
      </w:r>
    </w:p>
    <w:p>
      <w:pPr>
        <w:pStyle w:val="2"/>
        <w:spacing w:line="297" w:lineRule="auto"/>
      </w:pPr>
    </w:p>
    <w:p>
      <w:pPr>
        <w:spacing w:before="72" w:line="220" w:lineRule="auto"/>
        <w:ind w:left="110"/>
        <w:rPr>
          <w:rFonts w:ascii="宋体" w:hAnsi="宋体" w:eastAsia="宋体" w:cs="宋体"/>
          <w:sz w:val="22"/>
          <w:szCs w:val="22"/>
        </w:rPr>
      </w:pPr>
      <w:r>
        <w:rPr>
          <w:rFonts w:ascii="宋体" w:hAnsi="宋体" w:eastAsia="宋体" w:cs="宋体"/>
          <w:spacing w:val="-9"/>
          <w:sz w:val="22"/>
          <w:szCs w:val="22"/>
        </w:rPr>
        <w:t>各有关单位：</w:t>
      </w:r>
    </w:p>
    <w:p>
      <w:pPr>
        <w:spacing w:before="56" w:line="260" w:lineRule="auto"/>
        <w:ind w:firstLine="529"/>
        <w:jc w:val="both"/>
        <w:rPr>
          <w:rFonts w:ascii="宋体" w:hAnsi="宋体" w:eastAsia="宋体" w:cs="宋体"/>
          <w:sz w:val="22"/>
          <w:szCs w:val="22"/>
        </w:rPr>
      </w:pPr>
      <w:r>
        <w:rPr>
          <w:rFonts w:ascii="宋体" w:hAnsi="宋体" w:eastAsia="宋体" w:cs="宋体"/>
          <w:spacing w:val="-11"/>
          <w:sz w:val="22"/>
          <w:szCs w:val="22"/>
        </w:rPr>
        <w:t>由华东建筑设计研究院有限公司主编的《民用建筑水灭火系统设计标准》,经我委审核，现批准为上海市工程建设规范，统一</w:t>
      </w:r>
      <w:r>
        <w:rPr>
          <w:rFonts w:ascii="宋体" w:hAnsi="宋体" w:eastAsia="宋体" w:cs="宋体"/>
          <w:spacing w:val="14"/>
          <w:sz w:val="22"/>
          <w:szCs w:val="22"/>
        </w:rPr>
        <w:t>编号为</w:t>
      </w:r>
      <w:r>
        <w:rPr>
          <w:rFonts w:ascii="Times New Roman" w:hAnsi="Times New Roman" w:eastAsia="Times New Roman" w:cs="Times New Roman"/>
          <w:sz w:val="22"/>
          <w:szCs w:val="22"/>
        </w:rPr>
        <w:t>DG</w:t>
      </w:r>
      <w:r>
        <w:rPr>
          <w:rFonts w:ascii="Times New Roman" w:hAnsi="Times New Roman" w:eastAsia="Times New Roman" w:cs="Times New Roman"/>
          <w:spacing w:val="14"/>
          <w:sz w:val="22"/>
          <w:szCs w:val="22"/>
        </w:rPr>
        <w:t>/</w:t>
      </w:r>
      <w:r>
        <w:rPr>
          <w:rFonts w:ascii="Times New Roman" w:hAnsi="Times New Roman" w:eastAsia="Times New Roman" w:cs="Times New Roman"/>
          <w:sz w:val="22"/>
          <w:szCs w:val="22"/>
        </w:rPr>
        <w:t>TJ</w:t>
      </w:r>
      <w:r>
        <w:rPr>
          <w:rFonts w:ascii="Times New Roman" w:hAnsi="Times New Roman" w:eastAsia="Times New Roman" w:cs="Times New Roman"/>
          <w:spacing w:val="14"/>
          <w:sz w:val="22"/>
          <w:szCs w:val="22"/>
        </w:rPr>
        <w:t>08—94—2024,</w:t>
      </w:r>
      <w:r>
        <w:rPr>
          <w:rFonts w:ascii="宋体" w:hAnsi="宋体" w:eastAsia="宋体" w:cs="宋体"/>
          <w:spacing w:val="14"/>
          <w:sz w:val="22"/>
          <w:szCs w:val="22"/>
        </w:rPr>
        <w:t>自2024年10月1日起实施。原</w:t>
      </w:r>
      <w:r>
        <w:rPr>
          <w:rFonts w:ascii="宋体" w:hAnsi="宋体" w:eastAsia="宋体" w:cs="宋体"/>
          <w:spacing w:val="-10"/>
          <w:sz w:val="22"/>
          <w:szCs w:val="22"/>
        </w:rPr>
        <w:t>《民用建筑水灭火系统设计规程》(DGJ08—94—2007)同</w:t>
      </w:r>
      <w:r>
        <w:rPr>
          <w:rFonts w:ascii="宋体" w:hAnsi="宋体" w:eastAsia="宋体" w:cs="宋体"/>
          <w:spacing w:val="-11"/>
          <w:sz w:val="22"/>
          <w:szCs w:val="22"/>
        </w:rPr>
        <w:t>时废止。</w:t>
      </w:r>
    </w:p>
    <w:p>
      <w:pPr>
        <w:spacing w:before="21" w:line="259" w:lineRule="auto"/>
        <w:ind w:left="110" w:right="49" w:firstLine="419"/>
        <w:rPr>
          <w:rFonts w:ascii="宋体" w:hAnsi="宋体" w:eastAsia="宋体" w:cs="宋体"/>
          <w:sz w:val="22"/>
          <w:szCs w:val="22"/>
        </w:rPr>
      </w:pPr>
      <w:r>
        <w:rPr>
          <w:rFonts w:ascii="宋体" w:hAnsi="宋体" w:eastAsia="宋体" w:cs="宋体"/>
          <w:spacing w:val="-11"/>
          <w:sz w:val="22"/>
          <w:szCs w:val="22"/>
        </w:rPr>
        <w:t>本标准由上海市住房和城乡建设管理委员会负责管理，华东建筑设计研究院有限公司负责解释。</w:t>
      </w:r>
    </w:p>
    <w:p>
      <w:pPr>
        <w:spacing w:line="219" w:lineRule="auto"/>
        <w:ind w:left="533"/>
        <w:rPr>
          <w:rFonts w:ascii="宋体" w:hAnsi="宋体" w:eastAsia="宋体" w:cs="宋体"/>
          <w:sz w:val="22"/>
          <w:szCs w:val="22"/>
        </w:rPr>
      </w:pPr>
      <w:r>
        <w:rPr>
          <w:rFonts w:ascii="宋体" w:hAnsi="宋体" w:eastAsia="宋体" w:cs="宋体"/>
          <w:b/>
          <w:bCs/>
          <w:spacing w:val="-9"/>
          <w:sz w:val="22"/>
          <w:szCs w:val="22"/>
        </w:rPr>
        <w:t>特此通知。</w:t>
      </w:r>
    </w:p>
    <w:p>
      <w:pPr>
        <w:pStyle w:val="2"/>
        <w:spacing w:line="294" w:lineRule="auto"/>
      </w:pPr>
    </w:p>
    <w:p>
      <w:pPr>
        <w:spacing w:before="72" w:line="219" w:lineRule="auto"/>
        <w:ind w:left="2803"/>
        <w:rPr>
          <w:rFonts w:ascii="宋体" w:hAnsi="宋体" w:eastAsia="宋体" w:cs="宋体"/>
          <w:sz w:val="22"/>
          <w:szCs w:val="22"/>
        </w:rPr>
      </w:pPr>
      <w:r>
        <w:rPr>
          <w:rFonts w:ascii="宋体" w:hAnsi="宋体" w:eastAsia="宋体" w:cs="宋体"/>
          <w:b/>
          <w:bCs/>
          <w:spacing w:val="-12"/>
          <w:sz w:val="22"/>
          <w:szCs w:val="22"/>
        </w:rPr>
        <w:t>上海市住房和城乡建设管理委员会</w:t>
      </w:r>
    </w:p>
    <w:p>
      <w:pPr>
        <w:spacing w:before="60" w:line="219" w:lineRule="auto"/>
        <w:ind w:left="3573"/>
        <w:rPr>
          <w:rFonts w:ascii="宋体" w:hAnsi="宋体" w:eastAsia="宋体" w:cs="宋体"/>
          <w:sz w:val="22"/>
          <w:szCs w:val="22"/>
        </w:rPr>
      </w:pPr>
      <w:r>
        <w:rPr>
          <w:rFonts w:ascii="宋体" w:hAnsi="宋体" w:eastAsia="宋体" w:cs="宋体"/>
          <w:b/>
          <w:bCs/>
          <w:spacing w:val="18"/>
          <w:sz w:val="22"/>
          <w:szCs w:val="22"/>
        </w:rPr>
        <w:t>2024年4月30日</w:t>
      </w:r>
    </w:p>
    <w:p>
      <w:pPr>
        <w:spacing w:line="219" w:lineRule="auto"/>
        <w:rPr>
          <w:rFonts w:ascii="宋体" w:hAnsi="宋体" w:eastAsia="宋体" w:cs="宋体"/>
          <w:sz w:val="22"/>
          <w:szCs w:val="22"/>
        </w:rPr>
        <w:sectPr>
          <w:footerReference r:id="rId6" w:type="default"/>
          <w:pgSz w:w="8280" w:h="11850"/>
          <w:pgMar w:top="1007" w:right="1172" w:bottom="400" w:left="1090" w:header="0" w:footer="0" w:gutter="0"/>
          <w:cols w:space="720" w:num="1"/>
        </w:sectPr>
      </w:pPr>
    </w:p>
    <w:p>
      <w:pPr>
        <w:pStyle w:val="2"/>
        <w:spacing w:line="308" w:lineRule="auto"/>
      </w:pPr>
    </w:p>
    <w:p>
      <w:pPr>
        <w:pStyle w:val="2"/>
        <w:spacing w:line="308" w:lineRule="auto"/>
      </w:pPr>
    </w:p>
    <w:p>
      <w:pPr>
        <w:pStyle w:val="2"/>
        <w:spacing w:line="308" w:lineRule="auto"/>
      </w:pPr>
    </w:p>
    <w:p>
      <w:pPr>
        <w:spacing w:before="68" w:line="222" w:lineRule="auto"/>
        <w:ind w:left="2532"/>
        <w:rPr>
          <w:rFonts w:ascii="黑体" w:hAnsi="黑体" w:eastAsia="黑体" w:cs="黑体"/>
          <w:sz w:val="21"/>
          <w:szCs w:val="21"/>
        </w:rPr>
      </w:pPr>
      <w:r>
        <w:rPr>
          <w:rFonts w:ascii="黑体" w:hAnsi="黑体" w:eastAsia="黑体" w:cs="黑体"/>
          <w:b/>
          <w:bCs/>
          <w:spacing w:val="-7"/>
          <w:sz w:val="21"/>
          <w:szCs w:val="21"/>
        </w:rPr>
        <w:t>前言</w:t>
      </w:r>
    </w:p>
    <w:p>
      <w:pPr>
        <w:pStyle w:val="2"/>
        <w:spacing w:line="293" w:lineRule="auto"/>
      </w:pPr>
    </w:p>
    <w:p>
      <w:pPr>
        <w:pStyle w:val="2"/>
        <w:spacing w:line="294" w:lineRule="auto"/>
      </w:pPr>
    </w:p>
    <w:p>
      <w:pPr>
        <w:spacing w:before="68" w:line="273" w:lineRule="auto"/>
        <w:ind w:firstLine="409"/>
        <w:jc w:val="both"/>
        <w:rPr>
          <w:rFonts w:ascii="宋体" w:hAnsi="宋体" w:eastAsia="宋体" w:cs="宋体"/>
          <w:sz w:val="21"/>
          <w:szCs w:val="21"/>
        </w:rPr>
      </w:pPr>
      <w:r>
        <w:rPr>
          <w:rFonts w:ascii="宋体" w:hAnsi="宋体" w:eastAsia="宋体" w:cs="宋体"/>
          <w:spacing w:val="37"/>
          <w:sz w:val="21"/>
          <w:szCs w:val="21"/>
        </w:rPr>
        <w:t>根据上海市住房和城乡建设管理委员会《关于印发</w:t>
      </w:r>
      <w:r>
        <w:rPr>
          <w:rFonts w:ascii="宋体" w:hAnsi="宋体" w:eastAsia="宋体" w:cs="宋体"/>
          <w:spacing w:val="13"/>
          <w:sz w:val="21"/>
          <w:szCs w:val="21"/>
        </w:rPr>
        <w:t>&lt;2021年上海市工程建设规范、建筑标准设计编制计划&gt;的通</w:t>
      </w:r>
      <w:r>
        <w:rPr>
          <w:rFonts w:ascii="宋体" w:hAnsi="宋体" w:eastAsia="宋体" w:cs="宋体"/>
          <w:sz w:val="21"/>
          <w:szCs w:val="21"/>
        </w:rPr>
        <w:t>知》(沪建标定〔2020〕771号),</w:t>
      </w:r>
      <w:r>
        <w:rPr>
          <w:rFonts w:ascii="宋体" w:hAnsi="宋体" w:eastAsia="宋体" w:cs="宋体"/>
          <w:spacing w:val="-1"/>
          <w:sz w:val="21"/>
          <w:szCs w:val="21"/>
        </w:rPr>
        <w:t>华东建筑设计研究院有限公司会</w:t>
      </w:r>
      <w:r>
        <w:rPr>
          <w:rFonts w:ascii="宋体" w:hAnsi="宋体" w:eastAsia="宋体" w:cs="宋体"/>
          <w:spacing w:val="3"/>
          <w:sz w:val="21"/>
          <w:szCs w:val="21"/>
        </w:rPr>
        <w:t>同相关单位对《民用建筑水灭火系统设计规程》</w:t>
      </w:r>
      <w:r>
        <w:rPr>
          <w:rFonts w:ascii="宋体" w:hAnsi="宋体" w:eastAsia="宋体" w:cs="宋体"/>
          <w:sz w:val="21"/>
          <w:szCs w:val="21"/>
        </w:rPr>
        <w:t>DGJ</w:t>
      </w:r>
      <w:r>
        <w:rPr>
          <w:rFonts w:ascii="宋体" w:hAnsi="宋体" w:eastAsia="宋体" w:cs="宋体"/>
          <w:spacing w:val="3"/>
          <w:sz w:val="21"/>
          <w:szCs w:val="21"/>
        </w:rPr>
        <w:t>08—94—</w:t>
      </w:r>
      <w:r>
        <w:rPr>
          <w:rFonts w:ascii="宋体" w:hAnsi="宋体" w:eastAsia="宋体" w:cs="宋体"/>
          <w:spacing w:val="9"/>
          <w:sz w:val="21"/>
          <w:szCs w:val="21"/>
        </w:rPr>
        <w:t>2007进行修订。编制组经广泛调查研究，认真总结实践经验，</w:t>
      </w:r>
      <w:r>
        <w:rPr>
          <w:rFonts w:ascii="宋体" w:hAnsi="宋体" w:eastAsia="宋体" w:cs="宋体"/>
          <w:spacing w:val="-1"/>
          <w:sz w:val="21"/>
          <w:szCs w:val="21"/>
        </w:rPr>
        <w:t>参照国内外相关标准和规范，并在反复征求意见的基础上，修订</w:t>
      </w:r>
      <w:r>
        <w:rPr>
          <w:rFonts w:ascii="宋体" w:hAnsi="宋体" w:eastAsia="宋体" w:cs="宋体"/>
          <w:sz w:val="21"/>
          <w:szCs w:val="21"/>
        </w:rPr>
        <w:t>形成本标准。</w:t>
      </w:r>
    </w:p>
    <w:p>
      <w:pPr>
        <w:spacing w:before="26" w:line="274" w:lineRule="auto"/>
        <w:ind w:right="86" w:firstLine="409"/>
        <w:jc w:val="both"/>
        <w:rPr>
          <w:rFonts w:ascii="宋体" w:hAnsi="宋体" w:eastAsia="宋体" w:cs="宋体"/>
          <w:sz w:val="21"/>
          <w:szCs w:val="21"/>
        </w:rPr>
      </w:pPr>
      <w:r>
        <w:rPr>
          <w:rFonts w:ascii="宋体" w:hAnsi="宋体" w:eastAsia="宋体" w:cs="宋体"/>
          <w:spacing w:val="-9"/>
          <w:sz w:val="21"/>
          <w:szCs w:val="21"/>
        </w:rPr>
        <w:t>本标准的主要内容包括：总则；术语与符号；设置范围；消防</w:t>
      </w:r>
      <w:r>
        <w:rPr>
          <w:rFonts w:ascii="宋体" w:hAnsi="宋体" w:eastAsia="宋体" w:cs="宋体"/>
          <w:spacing w:val="-8"/>
          <w:sz w:val="21"/>
          <w:szCs w:val="21"/>
        </w:rPr>
        <w:t>给水；消火栓系统；自动喷水灭火系统；自动跟踪定位射流灭火系</w:t>
      </w:r>
      <w:r>
        <w:rPr>
          <w:rFonts w:ascii="宋体" w:hAnsi="宋体" w:eastAsia="宋体" w:cs="宋体"/>
          <w:spacing w:val="-10"/>
          <w:sz w:val="21"/>
          <w:szCs w:val="21"/>
        </w:rPr>
        <w:t>统；其他灭火系统及装置。</w:t>
      </w:r>
    </w:p>
    <w:p>
      <w:pPr>
        <w:spacing w:before="11" w:line="219" w:lineRule="auto"/>
        <w:ind w:left="412"/>
        <w:rPr>
          <w:rFonts w:ascii="宋体" w:hAnsi="宋体" w:eastAsia="宋体" w:cs="宋体"/>
          <w:sz w:val="21"/>
          <w:szCs w:val="21"/>
        </w:rPr>
      </w:pPr>
      <w:r>
        <w:rPr>
          <w:rFonts w:ascii="宋体" w:hAnsi="宋体" w:eastAsia="宋体" w:cs="宋体"/>
          <w:b/>
          <w:bCs/>
          <w:spacing w:val="-5"/>
          <w:sz w:val="21"/>
          <w:szCs w:val="21"/>
        </w:rPr>
        <w:t>本次修订的主要内容有：</w:t>
      </w:r>
    </w:p>
    <w:p>
      <w:pPr>
        <w:spacing w:before="75" w:line="219" w:lineRule="auto"/>
        <w:ind w:left="409"/>
        <w:rPr>
          <w:rFonts w:ascii="宋体" w:hAnsi="宋体" w:eastAsia="宋体" w:cs="宋体"/>
          <w:sz w:val="21"/>
          <w:szCs w:val="21"/>
        </w:rPr>
      </w:pPr>
      <w:r>
        <w:rPr>
          <w:rFonts w:ascii="宋体" w:hAnsi="宋体" w:eastAsia="宋体" w:cs="宋体"/>
          <w:spacing w:val="-5"/>
          <w:sz w:val="21"/>
          <w:szCs w:val="21"/>
        </w:rPr>
        <w:t>1.细化了水灭火系统、其他灭火系统及装置的设置范围。</w:t>
      </w:r>
    </w:p>
    <w:p>
      <w:pPr>
        <w:spacing w:before="60" w:line="219" w:lineRule="auto"/>
        <w:ind w:left="409"/>
        <w:rPr>
          <w:rFonts w:ascii="宋体" w:hAnsi="宋体" w:eastAsia="宋体" w:cs="宋体"/>
          <w:sz w:val="21"/>
          <w:szCs w:val="21"/>
        </w:rPr>
      </w:pPr>
      <w:r>
        <w:rPr>
          <w:rFonts w:ascii="宋体" w:hAnsi="宋体" w:eastAsia="宋体" w:cs="宋体"/>
          <w:spacing w:val="-1"/>
          <w:sz w:val="21"/>
          <w:szCs w:val="21"/>
        </w:rPr>
        <w:t>2.增加了压缩空气泡沫消火栓系统。</w:t>
      </w:r>
    </w:p>
    <w:p>
      <w:pPr>
        <w:spacing w:before="61" w:line="219" w:lineRule="auto"/>
        <w:ind w:left="409"/>
        <w:rPr>
          <w:rFonts w:ascii="宋体" w:hAnsi="宋体" w:eastAsia="宋体" w:cs="宋体"/>
          <w:sz w:val="21"/>
          <w:szCs w:val="21"/>
        </w:rPr>
      </w:pPr>
      <w:r>
        <w:rPr>
          <w:rFonts w:ascii="宋体" w:hAnsi="宋体" w:eastAsia="宋体" w:cs="宋体"/>
          <w:spacing w:val="-1"/>
          <w:sz w:val="21"/>
          <w:szCs w:val="21"/>
        </w:rPr>
        <w:t>3.增加了氮气灭火系统。</w:t>
      </w:r>
    </w:p>
    <w:p>
      <w:pPr>
        <w:spacing w:before="72" w:line="219" w:lineRule="auto"/>
        <w:ind w:left="409"/>
        <w:rPr>
          <w:rFonts w:ascii="宋体" w:hAnsi="宋体" w:eastAsia="宋体" w:cs="宋体"/>
          <w:sz w:val="21"/>
          <w:szCs w:val="21"/>
        </w:rPr>
      </w:pPr>
      <w:r>
        <w:rPr>
          <w:rFonts w:ascii="宋体" w:hAnsi="宋体" w:eastAsia="宋体" w:cs="宋体"/>
          <w:spacing w:val="-1"/>
          <w:sz w:val="21"/>
          <w:szCs w:val="21"/>
        </w:rPr>
        <w:t>4.增加了探火管灭火装置。</w:t>
      </w:r>
    </w:p>
    <w:p>
      <w:pPr>
        <w:spacing w:before="69" w:line="219" w:lineRule="auto"/>
        <w:ind w:left="409"/>
        <w:rPr>
          <w:rFonts w:ascii="宋体" w:hAnsi="宋体" w:eastAsia="宋体" w:cs="宋体"/>
          <w:sz w:val="21"/>
          <w:szCs w:val="21"/>
        </w:rPr>
      </w:pPr>
      <w:r>
        <w:rPr>
          <w:rFonts w:ascii="宋体" w:hAnsi="宋体" w:eastAsia="宋体" w:cs="宋体"/>
          <w:spacing w:val="-2"/>
          <w:sz w:val="21"/>
          <w:szCs w:val="21"/>
        </w:rPr>
        <w:t>5.增加了超细干粉自动灭火装置。</w:t>
      </w:r>
    </w:p>
    <w:p>
      <w:pPr>
        <w:spacing w:before="49" w:line="272" w:lineRule="auto"/>
        <w:ind w:firstLine="409"/>
        <w:jc w:val="both"/>
        <w:rPr>
          <w:rFonts w:ascii="宋体" w:hAnsi="宋体" w:eastAsia="宋体" w:cs="宋体"/>
          <w:sz w:val="21"/>
          <w:szCs w:val="21"/>
        </w:rPr>
      </w:pPr>
      <w:r>
        <w:rPr>
          <w:rFonts w:ascii="宋体" w:hAnsi="宋体" w:eastAsia="宋体" w:cs="宋体"/>
          <w:spacing w:val="3"/>
          <w:sz w:val="21"/>
          <w:szCs w:val="21"/>
        </w:rPr>
        <w:t>各单位及相关人员在执行本标准过程中，如有意</w:t>
      </w:r>
      <w:r>
        <w:rPr>
          <w:rFonts w:ascii="宋体" w:hAnsi="宋体" w:eastAsia="宋体" w:cs="宋体"/>
          <w:spacing w:val="2"/>
          <w:sz w:val="21"/>
          <w:szCs w:val="21"/>
        </w:rPr>
        <w:t>见和建议，请反馈至上海市住房和城乡建设管理委员会(地址：上海市大沽</w:t>
      </w:r>
      <w:r>
        <w:rPr>
          <w:rFonts w:ascii="宋体" w:hAnsi="宋体" w:eastAsia="宋体" w:cs="宋体"/>
          <w:spacing w:val="-1"/>
          <w:sz w:val="21"/>
          <w:szCs w:val="21"/>
        </w:rPr>
        <w:t>路100号；邮编：200003;</w:t>
      </w:r>
      <w:r>
        <w:rPr>
          <w:rFonts w:ascii="Times New Roman" w:hAnsi="Times New Roman" w:eastAsia="Times New Roman" w:cs="Times New Roman"/>
          <w:spacing w:val="-1"/>
          <w:sz w:val="21"/>
          <w:szCs w:val="21"/>
        </w:rPr>
        <w:t>E-mail:shjsbzgl@163.com),</w:t>
      </w:r>
      <w:r>
        <w:rPr>
          <w:rFonts w:ascii="宋体" w:hAnsi="宋体" w:eastAsia="宋体" w:cs="宋体"/>
          <w:spacing w:val="-1"/>
          <w:sz w:val="21"/>
          <w:szCs w:val="21"/>
        </w:rPr>
        <w:t>华东建筑</w:t>
      </w:r>
      <w:r>
        <w:rPr>
          <w:rFonts w:ascii="宋体" w:hAnsi="宋体" w:eastAsia="宋体" w:cs="宋体"/>
          <w:spacing w:val="2"/>
          <w:sz w:val="21"/>
          <w:szCs w:val="21"/>
        </w:rPr>
        <w:t>设计研究院有限公司(地址：上海市中山南路1799号世博滨江大</w:t>
      </w:r>
      <w:r>
        <w:rPr>
          <w:rFonts w:ascii="宋体" w:hAnsi="宋体" w:eastAsia="宋体" w:cs="宋体"/>
          <w:spacing w:val="-3"/>
          <w:sz w:val="21"/>
          <w:szCs w:val="21"/>
        </w:rPr>
        <w:t>厦；邮编：200011;</w:t>
      </w:r>
      <w:r>
        <w:rPr>
          <w:rFonts w:ascii="Times New Roman" w:hAnsi="Times New Roman" w:eastAsia="Times New Roman" w:cs="Times New Roman"/>
          <w:spacing w:val="-3"/>
          <w:sz w:val="21"/>
          <w:szCs w:val="21"/>
        </w:rPr>
        <w:t>E-mail:mhss_ecadi@163.com</w:t>
      </w:r>
      <w:r>
        <w:rPr>
          <w:rFonts w:ascii="Times New Roman" w:hAnsi="Times New Roman" w:eastAsia="Times New Roman" w:cs="Times New Roman"/>
          <w:spacing w:val="-4"/>
          <w:sz w:val="21"/>
          <w:szCs w:val="21"/>
        </w:rPr>
        <w:t>),</w:t>
      </w:r>
      <w:r>
        <w:rPr>
          <w:rFonts w:ascii="宋体" w:hAnsi="宋体" w:eastAsia="宋体" w:cs="宋体"/>
          <w:spacing w:val="-4"/>
          <w:sz w:val="21"/>
          <w:szCs w:val="21"/>
        </w:rPr>
        <w:t>上海市建筑建材业市场管理总站(地址：上海市小木桥路683号；邮编：200032;</w:t>
      </w:r>
    </w:p>
    <w:p>
      <w:pPr>
        <w:spacing w:before="1" w:line="213" w:lineRule="auto"/>
        <w:rPr>
          <w:rFonts w:ascii="宋体" w:hAnsi="宋体" w:eastAsia="宋体" w:cs="宋体"/>
          <w:sz w:val="21"/>
          <w:szCs w:val="21"/>
        </w:rPr>
      </w:pPr>
      <w:r>
        <w:rPr>
          <w:rFonts w:ascii="宋体" w:hAnsi="宋体" w:eastAsia="宋体" w:cs="宋体"/>
          <w:spacing w:val="-1"/>
          <w:sz w:val="21"/>
          <w:szCs w:val="21"/>
        </w:rPr>
        <w:t>E-mail:shgcbz@163.com),以供今后修订时参考。</w:t>
      </w:r>
    </w:p>
    <w:p>
      <w:pPr>
        <w:spacing w:line="213" w:lineRule="auto"/>
        <w:rPr>
          <w:rFonts w:ascii="宋体" w:hAnsi="宋体" w:eastAsia="宋体" w:cs="宋体"/>
          <w:sz w:val="21"/>
          <w:szCs w:val="21"/>
        </w:rPr>
        <w:sectPr>
          <w:footerReference r:id="rId7" w:type="default"/>
          <w:pgSz w:w="8280" w:h="11850"/>
          <w:pgMar w:top="1007" w:right="1134" w:bottom="1320" w:left="1200" w:header="0" w:footer="1046" w:gutter="0"/>
          <w:cols w:space="720" w:num="1"/>
        </w:sectPr>
      </w:pPr>
    </w:p>
    <w:p>
      <w:pPr>
        <w:spacing w:before="306" w:line="221" w:lineRule="auto"/>
        <w:ind w:left="330"/>
        <w:rPr>
          <w:rFonts w:ascii="宋体" w:hAnsi="宋体" w:eastAsia="宋体" w:cs="宋体"/>
          <w:sz w:val="21"/>
          <w:szCs w:val="21"/>
        </w:rPr>
      </w:pPr>
      <w:r>
        <w:rPr>
          <w:rFonts w:ascii="黑体" w:hAnsi="黑体" w:eastAsia="黑体" w:cs="黑体"/>
          <w:b/>
          <w:bCs/>
          <w:spacing w:val="-11"/>
          <w:sz w:val="21"/>
          <w:szCs w:val="21"/>
        </w:rPr>
        <w:t>主编单位</w:t>
      </w:r>
      <w:r>
        <w:rPr>
          <w:rFonts w:ascii="宋体" w:hAnsi="宋体" w:eastAsia="宋体" w:cs="宋体"/>
          <w:b/>
          <w:bCs/>
          <w:spacing w:val="-11"/>
          <w:sz w:val="21"/>
          <w:szCs w:val="21"/>
        </w:rPr>
        <w:t>：华东建筑设计研究院有限公司</w:t>
      </w:r>
    </w:p>
    <w:p>
      <w:pPr>
        <w:spacing w:before="68" w:line="221" w:lineRule="auto"/>
        <w:ind w:left="330"/>
        <w:rPr>
          <w:rFonts w:ascii="宋体" w:hAnsi="宋体" w:eastAsia="宋体" w:cs="宋体"/>
          <w:sz w:val="21"/>
          <w:szCs w:val="21"/>
        </w:rPr>
      </w:pPr>
      <w:r>
        <w:rPr>
          <w:rFonts w:ascii="黑体" w:hAnsi="黑体" w:eastAsia="黑体" w:cs="黑体"/>
          <w:b/>
          <w:bCs/>
          <w:spacing w:val="-14"/>
          <w:sz w:val="21"/>
          <w:szCs w:val="21"/>
        </w:rPr>
        <w:t>参编单位</w:t>
      </w:r>
      <w:r>
        <w:rPr>
          <w:rFonts w:ascii="宋体" w:hAnsi="宋体" w:eastAsia="宋体" w:cs="宋体"/>
          <w:b/>
          <w:bCs/>
          <w:spacing w:val="-14"/>
          <w:sz w:val="21"/>
          <w:szCs w:val="21"/>
        </w:rPr>
        <w:t>：上海市消防救援总队</w:t>
      </w:r>
    </w:p>
    <w:p>
      <w:pPr>
        <w:spacing w:before="69" w:line="219" w:lineRule="auto"/>
        <w:ind w:left="1480"/>
        <w:rPr>
          <w:rFonts w:ascii="宋体" w:hAnsi="宋体" w:eastAsia="宋体" w:cs="宋体"/>
          <w:sz w:val="21"/>
          <w:szCs w:val="21"/>
        </w:rPr>
      </w:pPr>
      <w:r>
        <w:rPr>
          <w:rFonts w:ascii="宋体" w:hAnsi="宋体" w:eastAsia="宋体" w:cs="宋体"/>
          <w:b/>
          <w:bCs/>
          <w:spacing w:val="-3"/>
          <w:sz w:val="21"/>
          <w:szCs w:val="21"/>
        </w:rPr>
        <w:t>上海建筑设计研究院有限公司</w:t>
      </w:r>
    </w:p>
    <w:p>
      <w:pPr>
        <w:spacing w:before="61" w:line="273" w:lineRule="auto"/>
        <w:ind w:left="1480" w:right="328" w:hanging="1150"/>
        <w:rPr>
          <w:rFonts w:ascii="宋体" w:hAnsi="宋体" w:eastAsia="宋体" w:cs="宋体"/>
          <w:sz w:val="21"/>
          <w:szCs w:val="21"/>
        </w:rPr>
      </w:pPr>
      <w:r>
        <w:rPr>
          <w:rFonts w:ascii="黑体" w:hAnsi="黑体" w:eastAsia="黑体" w:cs="黑体"/>
          <w:b/>
          <w:bCs/>
          <w:spacing w:val="-10"/>
          <w:sz w:val="21"/>
          <w:szCs w:val="21"/>
        </w:rPr>
        <w:t>主要起草人</w:t>
      </w:r>
      <w:r>
        <w:rPr>
          <w:rFonts w:ascii="宋体" w:hAnsi="宋体" w:eastAsia="宋体" w:cs="宋体"/>
          <w:b/>
          <w:bCs/>
          <w:spacing w:val="-10"/>
          <w:sz w:val="21"/>
          <w:szCs w:val="21"/>
        </w:rPr>
        <w:t>：徐扬杨波徐凤王薇王华星</w:t>
      </w:r>
      <w:r>
        <w:rPr>
          <w:rFonts w:ascii="宋体" w:hAnsi="宋体" w:eastAsia="宋体" w:cs="宋体"/>
          <w:b/>
          <w:bCs/>
          <w:spacing w:val="-7"/>
          <w:sz w:val="21"/>
          <w:szCs w:val="21"/>
        </w:rPr>
        <w:t>李云贺赵俊张亮周湧邓清</w:t>
      </w:r>
      <w:r>
        <w:rPr>
          <w:rFonts w:ascii="宋体" w:hAnsi="宋体" w:eastAsia="宋体" w:cs="宋体"/>
          <w:b/>
          <w:bCs/>
          <w:spacing w:val="-1"/>
          <w:sz w:val="21"/>
          <w:szCs w:val="21"/>
        </w:rPr>
        <w:t>赵华亮朱家真吴亮殷颖智党杰陶观楚曹晴烨金怡邢利周之瑜</w:t>
      </w:r>
      <w:r>
        <w:rPr>
          <w:rFonts w:ascii="宋体" w:hAnsi="宋体" w:eastAsia="宋体" w:cs="宋体"/>
          <w:b/>
          <w:bCs/>
          <w:spacing w:val="-5"/>
          <w:sz w:val="21"/>
          <w:szCs w:val="21"/>
        </w:rPr>
        <w:t>孟岚冯静慧张永丰</w:t>
      </w:r>
    </w:p>
    <w:p>
      <w:pPr>
        <w:spacing w:before="28" w:line="290" w:lineRule="auto"/>
        <w:ind w:left="1480" w:right="360" w:hanging="1150"/>
        <w:rPr>
          <w:rFonts w:ascii="宋体" w:hAnsi="宋体" w:eastAsia="宋体" w:cs="宋体"/>
          <w:sz w:val="21"/>
          <w:szCs w:val="21"/>
        </w:rPr>
      </w:pPr>
      <w:r>
        <w:rPr>
          <w:rFonts w:ascii="黑体" w:hAnsi="黑体" w:eastAsia="黑体" w:cs="黑体"/>
          <w:b/>
          <w:bCs/>
          <w:spacing w:val="-6"/>
          <w:sz w:val="21"/>
          <w:szCs w:val="21"/>
        </w:rPr>
        <w:t>主要审查人</w:t>
      </w:r>
      <w:r>
        <w:rPr>
          <w:rFonts w:ascii="宋体" w:hAnsi="宋体" w:eastAsia="宋体" w:cs="宋体"/>
          <w:b/>
          <w:bCs/>
          <w:spacing w:val="-6"/>
          <w:sz w:val="21"/>
          <w:szCs w:val="21"/>
        </w:rPr>
        <w:t>：</w:t>
      </w:r>
      <w:r>
        <w:rPr>
          <w:rFonts w:ascii="宋体" w:hAnsi="宋体" w:eastAsia="宋体" w:cs="宋体"/>
          <w:spacing w:val="-6"/>
          <w:sz w:val="21"/>
          <w:szCs w:val="21"/>
        </w:rPr>
        <w:t>归谈纯杨丙杰张锦冈李中一马哲</w:t>
      </w:r>
      <w:r>
        <w:rPr>
          <w:rFonts w:ascii="宋体" w:hAnsi="宋体" w:eastAsia="宋体" w:cs="宋体"/>
          <w:b/>
          <w:bCs/>
          <w:spacing w:val="-1"/>
          <w:sz w:val="21"/>
          <w:szCs w:val="21"/>
        </w:rPr>
        <w:t>李旻杨浩俊</w:t>
      </w:r>
    </w:p>
    <w:p>
      <w:pPr>
        <w:spacing w:before="298" w:line="219" w:lineRule="auto"/>
        <w:ind w:left="2771"/>
        <w:rPr>
          <w:rFonts w:ascii="宋体" w:hAnsi="宋体" w:eastAsia="宋体" w:cs="宋体"/>
          <w:sz w:val="21"/>
          <w:szCs w:val="21"/>
        </w:rPr>
      </w:pPr>
      <w:r>
        <w:rPr>
          <w:rFonts w:ascii="宋体" w:hAnsi="宋体" w:eastAsia="宋体" w:cs="宋体"/>
          <w:b/>
          <w:bCs/>
          <w:spacing w:val="-3"/>
          <w:sz w:val="21"/>
          <w:szCs w:val="21"/>
        </w:rPr>
        <w:t>上海市建筑建材业市场管理总站</w:t>
      </w:r>
    </w:p>
    <w:p>
      <w:pPr>
        <w:spacing w:line="219" w:lineRule="auto"/>
        <w:rPr>
          <w:rFonts w:ascii="宋体" w:hAnsi="宋体" w:eastAsia="宋体" w:cs="宋体"/>
          <w:sz w:val="21"/>
          <w:szCs w:val="21"/>
        </w:rPr>
        <w:sectPr>
          <w:footerReference r:id="rId8" w:type="default"/>
          <w:pgSz w:w="8280" w:h="11850"/>
          <w:pgMar w:top="1007" w:right="1242" w:bottom="1320" w:left="1242" w:header="0" w:footer="1046" w:gutter="0"/>
          <w:cols w:space="720" w:num="1"/>
        </w:sectPr>
      </w:pPr>
    </w:p>
    <w:p>
      <w:pPr>
        <w:pStyle w:val="2"/>
        <w:spacing w:line="318" w:lineRule="auto"/>
      </w:pPr>
    </w:p>
    <w:p>
      <w:pPr>
        <w:pStyle w:val="2"/>
        <w:spacing w:line="318" w:lineRule="auto"/>
      </w:pPr>
    </w:p>
    <w:p>
      <w:pPr>
        <w:pStyle w:val="2"/>
        <w:spacing w:line="318" w:lineRule="auto"/>
      </w:pPr>
    </w:p>
    <w:sdt>
      <w:sdtPr>
        <w:rPr>
          <w:rFonts w:ascii="宋体" w:hAnsi="宋体" w:eastAsia="宋体" w:cs="宋体"/>
          <w:sz w:val="21"/>
          <w:szCs w:val="21"/>
        </w:rPr>
        <w:id w:val="1"/>
        <w:docPartObj>
          <w:docPartGallery w:val="Table of Contents"/>
          <w:docPartUnique/>
        </w:docPartObj>
      </w:sdtPr>
      <w:sdtEndPr>
        <w:rPr>
          <w:rFonts w:ascii="Times New Roman" w:hAnsi="Times New Roman" w:eastAsia="Times New Roman" w:cs="Times New Roman"/>
          <w:sz w:val="21"/>
          <w:szCs w:val="21"/>
        </w:rPr>
      </w:sdtEndPr>
      <w:sdtContent>
        <w:p>
          <w:pPr>
            <w:spacing w:before="68" w:line="219" w:lineRule="auto"/>
            <w:ind w:left="2582"/>
            <w:rPr>
              <w:rFonts w:ascii="宋体" w:hAnsi="宋体" w:eastAsia="宋体" w:cs="宋体"/>
              <w:sz w:val="21"/>
              <w:szCs w:val="21"/>
            </w:rPr>
          </w:pPr>
          <w:r>
            <w:rPr>
              <w:rFonts w:ascii="宋体" w:hAnsi="宋体" w:eastAsia="宋体" w:cs="宋体"/>
              <w:b/>
              <w:bCs/>
              <w:spacing w:val="-27"/>
              <w:sz w:val="21"/>
              <w:szCs w:val="21"/>
            </w:rPr>
            <w:t>目次</w:t>
          </w:r>
        </w:p>
        <w:p>
          <w:pPr>
            <w:pStyle w:val="2"/>
            <w:spacing w:line="296" w:lineRule="auto"/>
          </w:pPr>
        </w:p>
        <w:p>
          <w:pPr>
            <w:pStyle w:val="2"/>
            <w:spacing w:line="296" w:lineRule="auto"/>
          </w:pPr>
        </w:p>
        <w:p>
          <w:pPr>
            <w:tabs>
              <w:tab w:val="right" w:leader="dot" w:pos="5840"/>
            </w:tabs>
            <w:spacing w:before="68" w:line="220" w:lineRule="auto"/>
            <w:rPr>
              <w:rFonts w:ascii="Times New Roman" w:hAnsi="Times New Roman" w:eastAsia="Times New Roman" w:cs="Times New Roman"/>
              <w:sz w:val="21"/>
              <w:szCs w:val="21"/>
            </w:rPr>
          </w:pPr>
          <w:r>
            <w:fldChar w:fldCharType="begin"/>
          </w:r>
          <w:r>
            <w:instrText xml:space="preserve"> HYPERLINK \l "bookmark1" </w:instrText>
          </w:r>
          <w:r>
            <w:fldChar w:fldCharType="separate"/>
          </w:r>
          <w:r>
            <w:rPr>
              <w:rFonts w:ascii="宋体" w:hAnsi="宋体" w:eastAsia="宋体" w:cs="宋体"/>
              <w:spacing w:val="-17"/>
              <w:sz w:val="21"/>
              <w:szCs w:val="21"/>
            </w:rPr>
            <w:t>1总则</w:t>
          </w:r>
          <w:r>
            <w:rPr>
              <w:rFonts w:ascii="宋体" w:hAnsi="宋体" w:eastAsia="宋体" w:cs="宋体"/>
              <w:sz w:val="21"/>
              <w:szCs w:val="21"/>
            </w:rPr>
            <w:tab/>
          </w:r>
          <w:r>
            <w:rPr>
              <w:rFonts w:ascii="Times New Roman" w:hAnsi="Times New Roman" w:eastAsia="Times New Roman" w:cs="Times New Roman"/>
              <w:sz w:val="21"/>
              <w:szCs w:val="21"/>
            </w:rPr>
            <w:t>1</w:t>
          </w:r>
          <w:r>
            <w:rPr>
              <w:rFonts w:ascii="Times New Roman" w:hAnsi="Times New Roman" w:eastAsia="Times New Roman" w:cs="Times New Roman"/>
              <w:sz w:val="21"/>
              <w:szCs w:val="21"/>
            </w:rPr>
            <w:fldChar w:fldCharType="end"/>
          </w:r>
        </w:p>
        <w:p>
          <w:pPr>
            <w:tabs>
              <w:tab w:val="right" w:leader="dot" w:pos="5850"/>
            </w:tabs>
            <w:spacing w:before="69" w:line="219" w:lineRule="auto"/>
            <w:rPr>
              <w:rFonts w:ascii="Times New Roman" w:hAnsi="Times New Roman" w:eastAsia="Times New Roman" w:cs="Times New Roman"/>
              <w:sz w:val="21"/>
              <w:szCs w:val="21"/>
            </w:rPr>
          </w:pPr>
          <w:r>
            <w:fldChar w:fldCharType="begin"/>
          </w:r>
          <w:r>
            <w:instrText xml:space="preserve"> HYPERLINK \l "bookmark2" </w:instrText>
          </w:r>
          <w:r>
            <w:fldChar w:fldCharType="separate"/>
          </w:r>
          <w:r>
            <w:rPr>
              <w:rFonts w:ascii="Times New Roman" w:hAnsi="Times New Roman" w:eastAsia="Times New Roman" w:cs="Times New Roman"/>
              <w:spacing w:val="4"/>
              <w:sz w:val="21"/>
              <w:szCs w:val="21"/>
            </w:rPr>
            <w:t>2</w:t>
          </w:r>
          <w:r>
            <w:rPr>
              <w:rFonts w:ascii="宋体" w:hAnsi="宋体" w:eastAsia="宋体" w:cs="宋体"/>
              <w:spacing w:val="4"/>
              <w:sz w:val="21"/>
              <w:szCs w:val="21"/>
            </w:rPr>
            <w:t>术语与符号</w:t>
          </w:r>
          <w:r>
            <w:rPr>
              <w:rFonts w:ascii="宋体" w:hAnsi="宋体" w:eastAsia="宋体" w:cs="宋体"/>
              <w:sz w:val="21"/>
              <w:szCs w:val="21"/>
            </w:rPr>
            <w:tab/>
          </w:r>
          <w:r>
            <w:rPr>
              <w:rFonts w:ascii="Times New Roman" w:hAnsi="Times New Roman" w:eastAsia="Times New Roman" w:cs="Times New Roman"/>
              <w:spacing w:val="2"/>
              <w:sz w:val="21"/>
              <w:szCs w:val="21"/>
            </w:rPr>
            <w:t>2</w:t>
          </w:r>
          <w:r>
            <w:rPr>
              <w:rFonts w:ascii="Times New Roman" w:hAnsi="Times New Roman" w:eastAsia="Times New Roman" w:cs="Times New Roman"/>
              <w:spacing w:val="2"/>
              <w:sz w:val="21"/>
              <w:szCs w:val="21"/>
            </w:rPr>
            <w:fldChar w:fldCharType="end"/>
          </w:r>
        </w:p>
        <w:p>
          <w:pPr>
            <w:tabs>
              <w:tab w:val="right" w:leader="dot" w:pos="5860"/>
            </w:tabs>
            <w:spacing w:before="70" w:line="219" w:lineRule="auto"/>
            <w:ind w:left="320"/>
            <w:rPr>
              <w:rFonts w:ascii="Times New Roman" w:hAnsi="Times New Roman" w:eastAsia="Times New Roman" w:cs="Times New Roman"/>
              <w:sz w:val="21"/>
              <w:szCs w:val="21"/>
            </w:rPr>
          </w:pPr>
          <w:r>
            <w:fldChar w:fldCharType="begin"/>
          </w:r>
          <w:r>
            <w:instrText xml:space="preserve"> HYPERLINK \l "bookmark3" </w:instrText>
          </w:r>
          <w:r>
            <w:fldChar w:fldCharType="separate"/>
          </w:r>
          <w:r>
            <w:rPr>
              <w:rFonts w:ascii="宋体" w:hAnsi="宋体" w:eastAsia="宋体" w:cs="宋体"/>
              <w:spacing w:val="11"/>
              <w:sz w:val="21"/>
              <w:szCs w:val="21"/>
            </w:rPr>
            <w:t>2.1术语</w:t>
          </w:r>
          <w:r>
            <w:rPr>
              <w:rFonts w:ascii="宋体" w:hAnsi="宋体" w:eastAsia="宋体" w:cs="宋体"/>
              <w:sz w:val="21"/>
              <w:szCs w:val="21"/>
            </w:rPr>
            <w:tab/>
          </w:r>
          <w:r>
            <w:rPr>
              <w:rFonts w:ascii="Times New Roman" w:hAnsi="Times New Roman" w:eastAsia="Times New Roman" w:cs="Times New Roman"/>
              <w:sz w:val="21"/>
              <w:szCs w:val="21"/>
            </w:rPr>
            <w:t>2</w:t>
          </w:r>
          <w:r>
            <w:rPr>
              <w:rFonts w:ascii="Times New Roman" w:hAnsi="Times New Roman" w:eastAsia="Times New Roman" w:cs="Times New Roman"/>
              <w:sz w:val="21"/>
              <w:szCs w:val="21"/>
            </w:rPr>
            <w:fldChar w:fldCharType="end"/>
          </w:r>
        </w:p>
        <w:p>
          <w:pPr>
            <w:tabs>
              <w:tab w:val="right" w:leader="dot" w:pos="5835"/>
            </w:tabs>
            <w:spacing w:before="81" w:line="219" w:lineRule="auto"/>
            <w:ind w:left="320"/>
            <w:rPr>
              <w:rFonts w:ascii="Times New Roman" w:hAnsi="Times New Roman" w:eastAsia="Times New Roman" w:cs="Times New Roman"/>
              <w:sz w:val="21"/>
              <w:szCs w:val="21"/>
            </w:rPr>
          </w:pPr>
          <w:r>
            <w:fldChar w:fldCharType="begin"/>
          </w:r>
          <w:r>
            <w:instrText xml:space="preserve"> HYPERLINK \l "bookmark4" </w:instrText>
          </w:r>
          <w:r>
            <w:fldChar w:fldCharType="separate"/>
          </w:r>
          <w:r>
            <w:rPr>
              <w:rFonts w:ascii="宋体" w:hAnsi="宋体" w:eastAsia="宋体" w:cs="宋体"/>
              <w:spacing w:val="6"/>
              <w:sz w:val="21"/>
              <w:szCs w:val="21"/>
            </w:rPr>
            <w:t>2.2符号</w:t>
          </w:r>
          <w:r>
            <w:rPr>
              <w:rFonts w:ascii="宋体" w:hAnsi="宋体" w:eastAsia="宋体" w:cs="宋体"/>
              <w:sz w:val="21"/>
              <w:szCs w:val="21"/>
            </w:rPr>
            <w:tab/>
          </w:r>
          <w:r>
            <w:rPr>
              <w:rFonts w:ascii="Times New Roman" w:hAnsi="Times New Roman" w:eastAsia="Times New Roman" w:cs="Times New Roman"/>
              <w:sz w:val="21"/>
              <w:szCs w:val="21"/>
            </w:rPr>
            <w:t>3</w:t>
          </w:r>
          <w:r>
            <w:rPr>
              <w:rFonts w:ascii="Times New Roman" w:hAnsi="Times New Roman" w:eastAsia="Times New Roman" w:cs="Times New Roman"/>
              <w:sz w:val="21"/>
              <w:szCs w:val="21"/>
            </w:rPr>
            <w:fldChar w:fldCharType="end"/>
          </w:r>
        </w:p>
        <w:p>
          <w:pPr>
            <w:tabs>
              <w:tab w:val="right" w:leader="dot" w:pos="5850"/>
            </w:tabs>
            <w:spacing w:before="71" w:line="220" w:lineRule="auto"/>
            <w:rPr>
              <w:rFonts w:ascii="Times New Roman" w:hAnsi="Times New Roman" w:eastAsia="Times New Roman" w:cs="Times New Roman"/>
              <w:sz w:val="21"/>
              <w:szCs w:val="21"/>
            </w:rPr>
          </w:pPr>
          <w:r>
            <w:fldChar w:fldCharType="begin"/>
          </w:r>
          <w:r>
            <w:instrText xml:space="preserve"> HYPERLINK \l "bookmark5" </w:instrText>
          </w:r>
          <w:r>
            <w:fldChar w:fldCharType="separate"/>
          </w:r>
          <w:r>
            <w:rPr>
              <w:rFonts w:ascii="Times New Roman" w:hAnsi="Times New Roman" w:eastAsia="Times New Roman" w:cs="Times New Roman"/>
              <w:spacing w:val="4"/>
              <w:sz w:val="21"/>
              <w:szCs w:val="21"/>
            </w:rPr>
            <w:t>3</w:t>
          </w:r>
          <w:r>
            <w:rPr>
              <w:rFonts w:ascii="宋体" w:hAnsi="宋体" w:eastAsia="宋体" w:cs="宋体"/>
              <w:spacing w:val="4"/>
              <w:sz w:val="21"/>
              <w:szCs w:val="21"/>
            </w:rPr>
            <w:t>设置范围</w:t>
          </w:r>
          <w:r>
            <w:rPr>
              <w:rFonts w:ascii="宋体" w:hAnsi="宋体" w:eastAsia="宋体" w:cs="宋体"/>
              <w:sz w:val="21"/>
              <w:szCs w:val="21"/>
            </w:rPr>
            <w:tab/>
          </w:r>
          <w:r>
            <w:rPr>
              <w:rFonts w:ascii="Times New Roman" w:hAnsi="Times New Roman" w:eastAsia="Times New Roman" w:cs="Times New Roman"/>
              <w:spacing w:val="3"/>
              <w:sz w:val="21"/>
              <w:szCs w:val="21"/>
            </w:rPr>
            <w:t>4</w:t>
          </w:r>
          <w:r>
            <w:rPr>
              <w:rFonts w:ascii="Times New Roman" w:hAnsi="Times New Roman" w:eastAsia="Times New Roman" w:cs="Times New Roman"/>
              <w:spacing w:val="3"/>
              <w:sz w:val="21"/>
              <w:szCs w:val="21"/>
            </w:rPr>
            <w:fldChar w:fldCharType="end"/>
          </w:r>
        </w:p>
        <w:p>
          <w:pPr>
            <w:tabs>
              <w:tab w:val="right" w:leader="dot" w:pos="5850"/>
            </w:tabs>
            <w:spacing w:before="50" w:line="219" w:lineRule="auto"/>
            <w:ind w:left="320"/>
            <w:rPr>
              <w:rFonts w:ascii="Times New Roman" w:hAnsi="Times New Roman" w:eastAsia="Times New Roman" w:cs="Times New Roman"/>
              <w:sz w:val="21"/>
              <w:szCs w:val="21"/>
            </w:rPr>
          </w:pPr>
          <w:r>
            <w:fldChar w:fldCharType="begin"/>
          </w:r>
          <w:r>
            <w:instrText xml:space="preserve"> HYPERLINK \l "bookmark6" </w:instrText>
          </w:r>
          <w:r>
            <w:fldChar w:fldCharType="separate"/>
          </w:r>
          <w:r>
            <w:rPr>
              <w:rFonts w:ascii="Times New Roman" w:hAnsi="Times New Roman" w:eastAsia="Times New Roman" w:cs="Times New Roman"/>
              <w:spacing w:val="4"/>
              <w:sz w:val="21"/>
              <w:szCs w:val="21"/>
            </w:rPr>
            <w:t>3.1</w:t>
          </w:r>
          <w:r>
            <w:rPr>
              <w:rFonts w:ascii="宋体" w:hAnsi="宋体" w:eastAsia="宋体" w:cs="宋体"/>
              <w:spacing w:val="4"/>
              <w:sz w:val="21"/>
              <w:szCs w:val="21"/>
            </w:rPr>
            <w:t>消火栓给水系统</w:t>
          </w:r>
          <w:r>
            <w:rPr>
              <w:rFonts w:ascii="宋体" w:hAnsi="宋体" w:eastAsia="宋体" w:cs="宋体"/>
              <w:sz w:val="21"/>
              <w:szCs w:val="21"/>
            </w:rPr>
            <w:tab/>
          </w:r>
          <w:r>
            <w:rPr>
              <w:rFonts w:ascii="Times New Roman" w:hAnsi="Times New Roman" w:eastAsia="Times New Roman" w:cs="Times New Roman"/>
              <w:sz w:val="21"/>
              <w:szCs w:val="21"/>
            </w:rPr>
            <w:t>4</w:t>
          </w:r>
          <w:r>
            <w:rPr>
              <w:rFonts w:ascii="Times New Roman" w:hAnsi="Times New Roman" w:eastAsia="Times New Roman" w:cs="Times New Roman"/>
              <w:sz w:val="21"/>
              <w:szCs w:val="21"/>
            </w:rPr>
            <w:fldChar w:fldCharType="end"/>
          </w:r>
        </w:p>
        <w:p>
          <w:pPr>
            <w:tabs>
              <w:tab w:val="right" w:leader="dot" w:pos="5854"/>
            </w:tabs>
            <w:spacing w:before="70" w:line="219" w:lineRule="auto"/>
            <w:ind w:left="320"/>
            <w:rPr>
              <w:rFonts w:ascii="Times New Roman" w:hAnsi="Times New Roman" w:eastAsia="Times New Roman" w:cs="Times New Roman"/>
              <w:sz w:val="21"/>
              <w:szCs w:val="21"/>
            </w:rPr>
          </w:pPr>
          <w:r>
            <w:fldChar w:fldCharType="begin"/>
          </w:r>
          <w:r>
            <w:instrText xml:space="preserve"> HYPERLINK \l "bookmark7" </w:instrText>
          </w:r>
          <w:r>
            <w:fldChar w:fldCharType="separate"/>
          </w:r>
          <w:r>
            <w:rPr>
              <w:rFonts w:ascii="Times New Roman" w:hAnsi="Times New Roman" w:eastAsia="Times New Roman" w:cs="Times New Roman"/>
              <w:spacing w:val="3"/>
              <w:sz w:val="21"/>
              <w:szCs w:val="21"/>
            </w:rPr>
            <w:t>3.2</w:t>
          </w:r>
          <w:r>
            <w:rPr>
              <w:rFonts w:ascii="宋体" w:hAnsi="宋体" w:eastAsia="宋体" w:cs="宋体"/>
              <w:spacing w:val="3"/>
              <w:sz w:val="21"/>
              <w:szCs w:val="21"/>
            </w:rPr>
            <w:t>自动喷水灭火系统</w:t>
          </w:r>
          <w:r>
            <w:rPr>
              <w:rFonts w:ascii="宋体" w:hAnsi="宋体" w:eastAsia="宋体" w:cs="宋体"/>
              <w:sz w:val="21"/>
              <w:szCs w:val="21"/>
            </w:rPr>
            <w:tab/>
          </w:r>
          <w:r>
            <w:rPr>
              <w:rFonts w:ascii="Times New Roman" w:hAnsi="Times New Roman" w:eastAsia="Times New Roman" w:cs="Times New Roman"/>
              <w:sz w:val="21"/>
              <w:szCs w:val="21"/>
            </w:rPr>
            <w:t>5</w:t>
          </w:r>
          <w:r>
            <w:rPr>
              <w:rFonts w:ascii="Times New Roman" w:hAnsi="Times New Roman" w:eastAsia="Times New Roman" w:cs="Times New Roman"/>
              <w:sz w:val="21"/>
              <w:szCs w:val="21"/>
            </w:rPr>
            <w:fldChar w:fldCharType="end"/>
          </w:r>
        </w:p>
        <w:p>
          <w:pPr>
            <w:tabs>
              <w:tab w:val="right" w:leader="dot" w:pos="5845"/>
            </w:tabs>
            <w:spacing w:before="71" w:line="219" w:lineRule="auto"/>
            <w:ind w:left="320"/>
            <w:rPr>
              <w:rFonts w:ascii="Times New Roman" w:hAnsi="Times New Roman" w:eastAsia="Times New Roman" w:cs="Times New Roman"/>
              <w:sz w:val="21"/>
              <w:szCs w:val="21"/>
            </w:rPr>
          </w:pPr>
          <w:r>
            <w:fldChar w:fldCharType="begin"/>
          </w:r>
          <w:r>
            <w:instrText xml:space="preserve"> HYPERLINK \l "bookmark8" </w:instrText>
          </w:r>
          <w:r>
            <w:fldChar w:fldCharType="separate"/>
          </w:r>
          <w:r>
            <w:rPr>
              <w:rFonts w:ascii="Times New Roman" w:hAnsi="Times New Roman" w:eastAsia="Times New Roman" w:cs="Times New Roman"/>
              <w:spacing w:val="-2"/>
              <w:sz w:val="21"/>
              <w:szCs w:val="21"/>
            </w:rPr>
            <w:t>3.3</w:t>
          </w:r>
          <w:r>
            <w:rPr>
              <w:rFonts w:ascii="宋体" w:hAnsi="宋体" w:eastAsia="宋体" w:cs="宋体"/>
              <w:spacing w:val="-2"/>
              <w:sz w:val="21"/>
              <w:szCs w:val="21"/>
            </w:rPr>
            <w:t>自动跟踪定位射流灭火系统</w:t>
          </w:r>
          <w:r>
            <w:rPr>
              <w:rFonts w:ascii="宋体" w:hAnsi="宋体" w:eastAsia="宋体" w:cs="宋体"/>
              <w:sz w:val="21"/>
              <w:szCs w:val="21"/>
            </w:rPr>
            <w:tab/>
          </w:r>
          <w:r>
            <w:rPr>
              <w:rFonts w:ascii="Times New Roman" w:hAnsi="Times New Roman" w:eastAsia="Times New Roman" w:cs="Times New Roman"/>
              <w:spacing w:val="-5"/>
              <w:sz w:val="21"/>
              <w:szCs w:val="21"/>
            </w:rPr>
            <w:t>11</w:t>
          </w:r>
          <w:r>
            <w:rPr>
              <w:rFonts w:ascii="Times New Roman" w:hAnsi="Times New Roman" w:eastAsia="Times New Roman" w:cs="Times New Roman"/>
              <w:spacing w:val="-5"/>
              <w:sz w:val="21"/>
              <w:szCs w:val="21"/>
            </w:rPr>
            <w:fldChar w:fldCharType="end"/>
          </w:r>
        </w:p>
        <w:p>
          <w:pPr>
            <w:tabs>
              <w:tab w:val="right" w:leader="dot" w:pos="5835"/>
            </w:tabs>
            <w:spacing w:before="61" w:line="219" w:lineRule="auto"/>
            <w:ind w:left="320"/>
            <w:rPr>
              <w:rFonts w:ascii="Times New Roman" w:hAnsi="Times New Roman" w:eastAsia="Times New Roman" w:cs="Times New Roman"/>
              <w:sz w:val="21"/>
              <w:szCs w:val="21"/>
            </w:rPr>
          </w:pPr>
          <w:r>
            <w:fldChar w:fldCharType="begin"/>
          </w:r>
          <w:r>
            <w:instrText xml:space="preserve"> HYPERLINK \l "bookmark9" </w:instrText>
          </w:r>
          <w:r>
            <w:fldChar w:fldCharType="separate"/>
          </w:r>
          <w:r>
            <w:rPr>
              <w:rFonts w:ascii="Times New Roman" w:hAnsi="Times New Roman" w:eastAsia="Times New Roman" w:cs="Times New Roman"/>
              <w:sz w:val="21"/>
              <w:szCs w:val="21"/>
            </w:rPr>
            <w:t>3.4</w:t>
          </w:r>
          <w:r>
            <w:rPr>
              <w:rFonts w:ascii="宋体" w:hAnsi="宋体" w:eastAsia="宋体" w:cs="宋体"/>
              <w:sz w:val="21"/>
              <w:szCs w:val="21"/>
            </w:rPr>
            <w:t>其他灭火系统及装置</w:t>
          </w:r>
          <w:r>
            <w:rPr>
              <w:rFonts w:ascii="宋体" w:hAnsi="宋体" w:eastAsia="宋体" w:cs="宋体"/>
              <w:sz w:val="21"/>
              <w:szCs w:val="21"/>
            </w:rPr>
            <w:tab/>
          </w:r>
          <w:r>
            <w:rPr>
              <w:rFonts w:ascii="Times New Roman" w:hAnsi="Times New Roman" w:eastAsia="Times New Roman" w:cs="Times New Roman"/>
              <w:spacing w:val="-5"/>
              <w:sz w:val="21"/>
              <w:szCs w:val="21"/>
            </w:rPr>
            <w:t>11</w:t>
          </w:r>
          <w:r>
            <w:rPr>
              <w:rFonts w:ascii="Times New Roman" w:hAnsi="Times New Roman" w:eastAsia="Times New Roman" w:cs="Times New Roman"/>
              <w:spacing w:val="-5"/>
              <w:sz w:val="21"/>
              <w:szCs w:val="21"/>
            </w:rPr>
            <w:fldChar w:fldCharType="end"/>
          </w:r>
        </w:p>
        <w:p>
          <w:pPr>
            <w:tabs>
              <w:tab w:val="right" w:leader="dot" w:pos="5825"/>
            </w:tabs>
            <w:spacing w:before="71" w:line="219" w:lineRule="auto"/>
            <w:rPr>
              <w:rFonts w:ascii="Times New Roman" w:hAnsi="Times New Roman" w:eastAsia="Times New Roman" w:cs="Times New Roman"/>
              <w:sz w:val="21"/>
              <w:szCs w:val="21"/>
            </w:rPr>
          </w:pPr>
          <w:r>
            <w:fldChar w:fldCharType="begin"/>
          </w:r>
          <w:r>
            <w:instrText xml:space="preserve"> HYPERLINK \l "bookmark10" </w:instrText>
          </w:r>
          <w:r>
            <w:fldChar w:fldCharType="separate"/>
          </w:r>
          <w:r>
            <w:rPr>
              <w:rFonts w:ascii="Times New Roman" w:hAnsi="Times New Roman" w:eastAsia="Times New Roman" w:cs="Times New Roman"/>
              <w:sz w:val="21"/>
              <w:szCs w:val="21"/>
            </w:rPr>
            <w:t>4</w:t>
          </w:r>
          <w:r>
            <w:rPr>
              <w:rFonts w:ascii="宋体" w:hAnsi="宋体" w:eastAsia="宋体" w:cs="宋体"/>
              <w:sz w:val="21"/>
              <w:szCs w:val="21"/>
            </w:rPr>
            <w:t>消防给水</w:t>
          </w:r>
          <w:r>
            <w:rPr>
              <w:rFonts w:ascii="宋体" w:hAnsi="宋体" w:eastAsia="宋体" w:cs="宋体"/>
              <w:sz w:val="21"/>
              <w:szCs w:val="21"/>
            </w:rPr>
            <w:tab/>
          </w:r>
          <w:r>
            <w:rPr>
              <w:rFonts w:ascii="Times New Roman" w:hAnsi="Times New Roman" w:eastAsia="Times New Roman" w:cs="Times New Roman"/>
              <w:spacing w:val="-5"/>
              <w:sz w:val="21"/>
              <w:szCs w:val="21"/>
            </w:rPr>
            <w:t>13</w:t>
          </w:r>
          <w:r>
            <w:rPr>
              <w:rFonts w:ascii="Times New Roman" w:hAnsi="Times New Roman" w:eastAsia="Times New Roman" w:cs="Times New Roman"/>
              <w:spacing w:val="-5"/>
              <w:sz w:val="21"/>
              <w:szCs w:val="21"/>
            </w:rPr>
            <w:fldChar w:fldCharType="end"/>
          </w:r>
        </w:p>
        <w:p>
          <w:pPr>
            <w:tabs>
              <w:tab w:val="right" w:leader="dot" w:pos="5825"/>
            </w:tabs>
            <w:spacing w:before="61" w:line="220" w:lineRule="auto"/>
            <w:ind w:left="320"/>
            <w:rPr>
              <w:rFonts w:ascii="Times New Roman" w:hAnsi="Times New Roman" w:eastAsia="Times New Roman" w:cs="Times New Roman"/>
              <w:sz w:val="21"/>
              <w:szCs w:val="21"/>
            </w:rPr>
          </w:pPr>
          <w:r>
            <w:fldChar w:fldCharType="begin"/>
          </w:r>
          <w:r>
            <w:instrText xml:space="preserve"> HYPERLINK \l "bookmark11" </w:instrText>
          </w:r>
          <w:r>
            <w:fldChar w:fldCharType="separate"/>
          </w:r>
          <w:r>
            <w:rPr>
              <w:rFonts w:ascii="Times New Roman" w:hAnsi="Times New Roman" w:eastAsia="Times New Roman" w:cs="Times New Roman"/>
              <w:spacing w:val="3"/>
              <w:sz w:val="21"/>
              <w:szCs w:val="21"/>
            </w:rPr>
            <w:t>4.1</w:t>
          </w:r>
          <w:r>
            <w:rPr>
              <w:rFonts w:ascii="宋体" w:hAnsi="宋体" w:eastAsia="宋体" w:cs="宋体"/>
              <w:spacing w:val="3"/>
              <w:sz w:val="21"/>
              <w:szCs w:val="21"/>
            </w:rPr>
            <w:t>一般规定</w:t>
          </w:r>
          <w:r>
            <w:rPr>
              <w:rFonts w:ascii="宋体" w:hAnsi="宋体" w:eastAsia="宋体" w:cs="宋体"/>
              <w:sz w:val="21"/>
              <w:szCs w:val="21"/>
            </w:rPr>
            <w:tab/>
          </w:r>
          <w:r>
            <w:rPr>
              <w:rFonts w:ascii="Times New Roman" w:hAnsi="Times New Roman" w:eastAsia="Times New Roman" w:cs="Times New Roman"/>
              <w:spacing w:val="-5"/>
              <w:sz w:val="21"/>
              <w:szCs w:val="21"/>
            </w:rPr>
            <w:t>13</w:t>
          </w:r>
          <w:r>
            <w:rPr>
              <w:rFonts w:ascii="Times New Roman" w:hAnsi="Times New Roman" w:eastAsia="Times New Roman" w:cs="Times New Roman"/>
              <w:spacing w:val="-5"/>
              <w:sz w:val="21"/>
              <w:szCs w:val="21"/>
            </w:rPr>
            <w:fldChar w:fldCharType="end"/>
          </w:r>
        </w:p>
        <w:p>
          <w:pPr>
            <w:tabs>
              <w:tab w:val="right" w:leader="dot" w:pos="5825"/>
            </w:tabs>
            <w:spacing w:before="70" w:line="219" w:lineRule="auto"/>
            <w:ind w:left="320"/>
            <w:rPr>
              <w:rFonts w:ascii="Times New Roman" w:hAnsi="Times New Roman" w:eastAsia="Times New Roman" w:cs="Times New Roman"/>
              <w:sz w:val="21"/>
              <w:szCs w:val="21"/>
            </w:rPr>
          </w:pPr>
          <w:r>
            <w:fldChar w:fldCharType="begin"/>
          </w:r>
          <w:r>
            <w:instrText xml:space="preserve"> HYPERLINK \l "bookmark12" </w:instrText>
          </w:r>
          <w:r>
            <w:fldChar w:fldCharType="separate"/>
          </w:r>
          <w:r>
            <w:rPr>
              <w:rFonts w:ascii="Times New Roman" w:hAnsi="Times New Roman" w:eastAsia="Times New Roman" w:cs="Times New Roman"/>
              <w:sz w:val="21"/>
              <w:szCs w:val="21"/>
            </w:rPr>
            <w:t>4.2</w:t>
          </w:r>
          <w:r>
            <w:rPr>
              <w:rFonts w:ascii="宋体" w:hAnsi="宋体" w:eastAsia="宋体" w:cs="宋体"/>
              <w:sz w:val="21"/>
              <w:szCs w:val="21"/>
            </w:rPr>
            <w:t>消防水源</w:t>
          </w:r>
          <w:r>
            <w:rPr>
              <w:rFonts w:ascii="宋体" w:hAnsi="宋体" w:eastAsia="宋体" w:cs="宋体"/>
              <w:sz w:val="21"/>
              <w:szCs w:val="21"/>
            </w:rPr>
            <w:tab/>
          </w:r>
          <w:r>
            <w:rPr>
              <w:rFonts w:ascii="Times New Roman" w:hAnsi="Times New Roman" w:eastAsia="Times New Roman" w:cs="Times New Roman"/>
              <w:spacing w:val="-5"/>
              <w:sz w:val="21"/>
              <w:szCs w:val="21"/>
            </w:rPr>
            <w:t>13</w:t>
          </w:r>
          <w:r>
            <w:rPr>
              <w:rFonts w:ascii="Times New Roman" w:hAnsi="Times New Roman" w:eastAsia="Times New Roman" w:cs="Times New Roman"/>
              <w:spacing w:val="-5"/>
              <w:sz w:val="21"/>
              <w:szCs w:val="21"/>
            </w:rPr>
            <w:fldChar w:fldCharType="end"/>
          </w:r>
        </w:p>
        <w:p>
          <w:pPr>
            <w:tabs>
              <w:tab w:val="right" w:leader="dot" w:pos="5835"/>
            </w:tabs>
            <w:spacing w:before="71" w:line="219" w:lineRule="auto"/>
            <w:ind w:left="320"/>
            <w:rPr>
              <w:rFonts w:ascii="Times New Roman" w:hAnsi="Times New Roman" w:eastAsia="Times New Roman" w:cs="Times New Roman"/>
              <w:sz w:val="21"/>
              <w:szCs w:val="21"/>
            </w:rPr>
          </w:pPr>
          <w:r>
            <w:fldChar w:fldCharType="begin"/>
          </w:r>
          <w:r>
            <w:instrText xml:space="preserve"> HYPERLINK \l "bookmark13" </w:instrText>
          </w:r>
          <w:r>
            <w:fldChar w:fldCharType="separate"/>
          </w:r>
          <w:r>
            <w:rPr>
              <w:rFonts w:ascii="Times New Roman" w:hAnsi="Times New Roman" w:eastAsia="Times New Roman" w:cs="Times New Roman"/>
              <w:sz w:val="21"/>
              <w:szCs w:val="21"/>
            </w:rPr>
            <w:t>4.3</w:t>
          </w:r>
          <w:r>
            <w:rPr>
              <w:rFonts w:ascii="宋体" w:hAnsi="宋体" w:eastAsia="宋体" w:cs="宋体"/>
              <w:sz w:val="21"/>
              <w:szCs w:val="21"/>
            </w:rPr>
            <w:t>消防用水量</w:t>
          </w:r>
          <w:r>
            <w:rPr>
              <w:rFonts w:ascii="宋体" w:hAnsi="宋体" w:eastAsia="宋体" w:cs="宋体"/>
              <w:sz w:val="21"/>
              <w:szCs w:val="21"/>
            </w:rPr>
            <w:tab/>
          </w:r>
          <w:r>
            <w:rPr>
              <w:rFonts w:ascii="Times New Roman" w:hAnsi="Times New Roman" w:eastAsia="Times New Roman" w:cs="Times New Roman"/>
              <w:spacing w:val="-5"/>
              <w:sz w:val="21"/>
              <w:szCs w:val="21"/>
            </w:rPr>
            <w:t>15</w:t>
          </w:r>
          <w:r>
            <w:rPr>
              <w:rFonts w:ascii="Times New Roman" w:hAnsi="Times New Roman" w:eastAsia="Times New Roman" w:cs="Times New Roman"/>
              <w:spacing w:val="-5"/>
              <w:sz w:val="21"/>
              <w:szCs w:val="21"/>
            </w:rPr>
            <w:fldChar w:fldCharType="end"/>
          </w:r>
        </w:p>
        <w:p>
          <w:pPr>
            <w:tabs>
              <w:tab w:val="right" w:leader="dot" w:pos="5825"/>
            </w:tabs>
            <w:spacing w:before="82" w:line="221" w:lineRule="auto"/>
            <w:ind w:left="320"/>
            <w:rPr>
              <w:rFonts w:ascii="Times New Roman" w:hAnsi="Times New Roman" w:eastAsia="Times New Roman" w:cs="Times New Roman"/>
              <w:sz w:val="21"/>
              <w:szCs w:val="21"/>
            </w:rPr>
          </w:pPr>
          <w:r>
            <w:fldChar w:fldCharType="begin"/>
          </w:r>
          <w:r>
            <w:instrText xml:space="preserve"> HYPERLINK \l "bookmark14" </w:instrText>
          </w:r>
          <w:r>
            <w:fldChar w:fldCharType="separate"/>
          </w:r>
          <w:r>
            <w:rPr>
              <w:rFonts w:ascii="Times New Roman" w:hAnsi="Times New Roman" w:eastAsia="Times New Roman" w:cs="Times New Roman"/>
              <w:spacing w:val="1"/>
              <w:sz w:val="21"/>
              <w:szCs w:val="21"/>
            </w:rPr>
            <w:t>4.4</w:t>
          </w:r>
          <w:r>
            <w:rPr>
              <w:rFonts w:ascii="宋体" w:hAnsi="宋体" w:eastAsia="宋体" w:cs="宋体"/>
              <w:spacing w:val="1"/>
              <w:sz w:val="21"/>
              <w:szCs w:val="21"/>
            </w:rPr>
            <w:t>系统形式</w:t>
          </w:r>
          <w:r>
            <w:rPr>
              <w:rFonts w:ascii="宋体" w:hAnsi="宋体" w:eastAsia="宋体" w:cs="宋体"/>
              <w:sz w:val="21"/>
              <w:szCs w:val="21"/>
            </w:rPr>
            <w:tab/>
          </w:r>
          <w:r>
            <w:rPr>
              <w:rFonts w:ascii="Times New Roman" w:hAnsi="Times New Roman" w:eastAsia="Times New Roman" w:cs="Times New Roman"/>
              <w:spacing w:val="-5"/>
              <w:sz w:val="21"/>
              <w:szCs w:val="21"/>
            </w:rPr>
            <w:t>16</w:t>
          </w:r>
          <w:r>
            <w:rPr>
              <w:rFonts w:ascii="Times New Roman" w:hAnsi="Times New Roman" w:eastAsia="Times New Roman" w:cs="Times New Roman"/>
              <w:spacing w:val="-5"/>
              <w:sz w:val="21"/>
              <w:szCs w:val="21"/>
            </w:rPr>
            <w:fldChar w:fldCharType="end"/>
          </w:r>
        </w:p>
        <w:p>
          <w:pPr>
            <w:tabs>
              <w:tab w:val="right" w:leader="dot" w:pos="5835"/>
            </w:tabs>
            <w:spacing w:before="47" w:line="219" w:lineRule="auto"/>
            <w:rPr>
              <w:rFonts w:ascii="Times New Roman" w:hAnsi="Times New Roman" w:eastAsia="Times New Roman" w:cs="Times New Roman"/>
              <w:sz w:val="21"/>
              <w:szCs w:val="21"/>
            </w:rPr>
          </w:pPr>
          <w:r>
            <w:fldChar w:fldCharType="begin"/>
          </w:r>
          <w:r>
            <w:instrText xml:space="preserve"> HYPERLINK \l "bookmark15" </w:instrText>
          </w:r>
          <w:r>
            <w:fldChar w:fldCharType="separate"/>
          </w:r>
          <w:r>
            <w:rPr>
              <w:rFonts w:ascii="Times New Roman" w:hAnsi="Times New Roman" w:eastAsia="Times New Roman" w:cs="Times New Roman"/>
              <w:spacing w:val="2"/>
              <w:sz w:val="21"/>
              <w:szCs w:val="21"/>
            </w:rPr>
            <w:t>5</w:t>
          </w:r>
          <w:r>
            <w:rPr>
              <w:rFonts w:ascii="宋体" w:hAnsi="宋体" w:eastAsia="宋体" w:cs="宋体"/>
              <w:spacing w:val="2"/>
              <w:sz w:val="21"/>
              <w:szCs w:val="21"/>
            </w:rPr>
            <w:t>消火栓系统</w:t>
          </w:r>
          <w:r>
            <w:rPr>
              <w:rFonts w:ascii="宋体" w:hAnsi="宋体" w:eastAsia="宋体" w:cs="宋体"/>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35"/>
            </w:tabs>
            <w:spacing w:before="62" w:line="220" w:lineRule="auto"/>
            <w:ind w:left="320"/>
            <w:rPr>
              <w:rFonts w:ascii="Times New Roman" w:hAnsi="Times New Roman" w:eastAsia="Times New Roman" w:cs="Times New Roman"/>
              <w:sz w:val="21"/>
              <w:szCs w:val="21"/>
            </w:rPr>
          </w:pPr>
          <w:r>
            <w:fldChar w:fldCharType="begin"/>
          </w:r>
          <w:r>
            <w:instrText xml:space="preserve"> HYPERLINK \l "bookmark16" </w:instrText>
          </w:r>
          <w:r>
            <w:fldChar w:fldCharType="separate"/>
          </w:r>
          <w:r>
            <w:rPr>
              <w:rFonts w:ascii="Times New Roman" w:hAnsi="Times New Roman" w:eastAsia="Times New Roman" w:cs="Times New Roman"/>
              <w:spacing w:val="2"/>
              <w:sz w:val="21"/>
              <w:szCs w:val="21"/>
            </w:rPr>
            <w:t>5.1</w:t>
          </w:r>
          <w:r>
            <w:rPr>
              <w:rFonts w:ascii="宋体" w:hAnsi="宋体" w:eastAsia="宋体" w:cs="宋体"/>
              <w:spacing w:val="2"/>
              <w:sz w:val="21"/>
              <w:szCs w:val="21"/>
            </w:rPr>
            <w:t>一般规定</w:t>
          </w:r>
          <w:r>
            <w:rPr>
              <w:rFonts w:ascii="宋体" w:hAnsi="宋体" w:eastAsia="宋体" w:cs="宋体"/>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25"/>
            </w:tabs>
            <w:spacing w:before="69" w:line="219" w:lineRule="auto"/>
            <w:ind w:left="320"/>
            <w:rPr>
              <w:rFonts w:ascii="Times New Roman" w:hAnsi="Times New Roman" w:eastAsia="Times New Roman" w:cs="Times New Roman"/>
              <w:sz w:val="21"/>
              <w:szCs w:val="21"/>
            </w:rPr>
          </w:pPr>
          <w:r>
            <w:fldChar w:fldCharType="begin"/>
          </w:r>
          <w:r>
            <w:instrText xml:space="preserve"> HYPERLINK \l "bookmark17" </w:instrText>
          </w:r>
          <w:r>
            <w:fldChar w:fldCharType="separate"/>
          </w:r>
          <w:r>
            <w:rPr>
              <w:rFonts w:ascii="Times New Roman" w:hAnsi="Times New Roman" w:eastAsia="Times New Roman" w:cs="Times New Roman"/>
              <w:spacing w:val="1"/>
              <w:sz w:val="21"/>
              <w:szCs w:val="21"/>
            </w:rPr>
            <w:t>5.2</w:t>
          </w:r>
          <w:r>
            <w:rPr>
              <w:rFonts w:ascii="宋体" w:hAnsi="宋体" w:eastAsia="宋体" w:cs="宋体"/>
              <w:spacing w:val="1"/>
              <w:sz w:val="21"/>
              <w:szCs w:val="21"/>
            </w:rPr>
            <w:t>消火栓用水量</w:t>
          </w:r>
          <w:r>
            <w:rPr>
              <w:rFonts w:ascii="宋体" w:hAnsi="宋体" w:eastAsia="宋体" w:cs="宋体"/>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45"/>
            </w:tabs>
            <w:spacing w:before="71" w:line="219" w:lineRule="auto"/>
            <w:ind w:left="320"/>
            <w:rPr>
              <w:rFonts w:ascii="Times New Roman" w:hAnsi="Times New Roman" w:eastAsia="Times New Roman" w:cs="Times New Roman"/>
              <w:sz w:val="21"/>
              <w:szCs w:val="21"/>
            </w:rPr>
          </w:pPr>
          <w:r>
            <w:fldChar w:fldCharType="begin"/>
          </w:r>
          <w:r>
            <w:instrText xml:space="preserve"> HYPERLINK \l "bookmark18" </w:instrText>
          </w:r>
          <w:r>
            <w:fldChar w:fldCharType="separate"/>
          </w:r>
          <w:r>
            <w:rPr>
              <w:rFonts w:ascii="Times New Roman" w:hAnsi="Times New Roman" w:eastAsia="Times New Roman" w:cs="Times New Roman"/>
              <w:sz w:val="21"/>
              <w:szCs w:val="21"/>
            </w:rPr>
            <w:t>5.3</w:t>
          </w:r>
          <w:r>
            <w:rPr>
              <w:rFonts w:ascii="宋体" w:hAnsi="宋体" w:eastAsia="宋体" w:cs="宋体"/>
              <w:sz w:val="21"/>
              <w:szCs w:val="21"/>
            </w:rPr>
            <w:t>室外消火栓系统</w:t>
          </w:r>
          <w:r>
            <w:rPr>
              <w:rFonts w:ascii="宋体" w:hAnsi="宋体" w:eastAsia="宋体" w:cs="宋体"/>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pPr>
            <w:tabs>
              <w:tab w:val="right" w:leader="dot" w:pos="5855"/>
            </w:tabs>
            <w:spacing w:before="71" w:line="219" w:lineRule="auto"/>
            <w:ind w:left="320"/>
            <w:rPr>
              <w:rFonts w:ascii="Times New Roman" w:hAnsi="Times New Roman" w:eastAsia="Times New Roman" w:cs="Times New Roman"/>
              <w:sz w:val="21"/>
              <w:szCs w:val="21"/>
            </w:rPr>
          </w:pPr>
          <w:r>
            <w:fldChar w:fldCharType="begin"/>
          </w:r>
          <w:r>
            <w:instrText xml:space="preserve"> HYPERLINK \l "bookmark19" </w:instrText>
          </w:r>
          <w:r>
            <w:fldChar w:fldCharType="separate"/>
          </w:r>
          <w:r>
            <w:rPr>
              <w:rFonts w:ascii="Times New Roman" w:hAnsi="Times New Roman" w:eastAsia="Times New Roman" w:cs="Times New Roman"/>
              <w:sz w:val="21"/>
              <w:szCs w:val="21"/>
            </w:rPr>
            <w:t>5.4</w:t>
          </w:r>
          <w:r>
            <w:rPr>
              <w:rFonts w:ascii="宋体" w:hAnsi="宋体" w:eastAsia="宋体" w:cs="宋体"/>
              <w:sz w:val="21"/>
              <w:szCs w:val="21"/>
            </w:rPr>
            <w:t>室内消火栓系统</w:t>
          </w:r>
          <w:r>
            <w:rPr>
              <w:rFonts w:ascii="宋体" w:hAnsi="宋体" w:eastAsia="宋体" w:cs="宋体"/>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pPr>
            <w:tabs>
              <w:tab w:val="right" w:leader="dot" w:pos="5855"/>
            </w:tabs>
            <w:spacing w:before="69" w:line="219" w:lineRule="auto"/>
            <w:ind w:left="320"/>
            <w:rPr>
              <w:rFonts w:ascii="Times New Roman" w:hAnsi="Times New Roman" w:eastAsia="Times New Roman" w:cs="Times New Roman"/>
              <w:sz w:val="21"/>
              <w:szCs w:val="21"/>
            </w:rPr>
          </w:pPr>
          <w:r>
            <w:fldChar w:fldCharType="begin"/>
          </w:r>
          <w:r>
            <w:instrText xml:space="preserve"> HYPERLINK \l "bookmark20" </w:instrText>
          </w:r>
          <w:r>
            <w:fldChar w:fldCharType="separate"/>
          </w:r>
          <w:r>
            <w:rPr>
              <w:rFonts w:ascii="Times New Roman" w:hAnsi="Times New Roman" w:eastAsia="Times New Roman" w:cs="Times New Roman"/>
              <w:spacing w:val="-1"/>
              <w:sz w:val="21"/>
              <w:szCs w:val="21"/>
            </w:rPr>
            <w:t>5.5</w:t>
          </w:r>
          <w:r>
            <w:rPr>
              <w:rFonts w:ascii="宋体" w:hAnsi="宋体" w:eastAsia="宋体" w:cs="宋体"/>
              <w:spacing w:val="-1"/>
              <w:sz w:val="21"/>
              <w:szCs w:val="21"/>
            </w:rPr>
            <w:t>压缩空气泡沫消火栓系统</w:t>
          </w:r>
          <w:r>
            <w:rPr>
              <w:rFonts w:ascii="宋体" w:hAnsi="宋体" w:eastAsia="宋体" w:cs="宋体"/>
              <w:sz w:val="21"/>
              <w:szCs w:val="21"/>
            </w:rPr>
            <w:tab/>
          </w:r>
          <w:r>
            <w:rPr>
              <w:rFonts w:ascii="Times New Roman" w:hAnsi="Times New Roman" w:eastAsia="Times New Roman" w:cs="Times New Roman"/>
              <w:spacing w:val="1"/>
              <w:sz w:val="21"/>
              <w:szCs w:val="21"/>
            </w:rPr>
            <w:t>26</w:t>
          </w:r>
          <w:r>
            <w:rPr>
              <w:rFonts w:ascii="Times New Roman" w:hAnsi="Times New Roman" w:eastAsia="Times New Roman" w:cs="Times New Roman"/>
              <w:spacing w:val="1"/>
              <w:sz w:val="21"/>
              <w:szCs w:val="21"/>
            </w:rPr>
            <w:fldChar w:fldCharType="end"/>
          </w:r>
        </w:p>
        <w:p>
          <w:pPr>
            <w:tabs>
              <w:tab w:val="right" w:leader="dot" w:pos="5865"/>
            </w:tabs>
            <w:spacing w:before="62" w:line="219" w:lineRule="auto"/>
            <w:ind w:left="320"/>
            <w:rPr>
              <w:rFonts w:ascii="Times New Roman" w:hAnsi="Times New Roman" w:eastAsia="Times New Roman" w:cs="Times New Roman"/>
              <w:sz w:val="21"/>
              <w:szCs w:val="21"/>
            </w:rPr>
          </w:pPr>
          <w:r>
            <w:fldChar w:fldCharType="begin"/>
          </w:r>
          <w:r>
            <w:instrText xml:space="preserve"> HYPERLINK \l "bookmark21" </w:instrText>
          </w:r>
          <w:r>
            <w:fldChar w:fldCharType="separate"/>
          </w:r>
          <w:r>
            <w:rPr>
              <w:rFonts w:ascii="Times New Roman" w:hAnsi="Times New Roman" w:eastAsia="Times New Roman" w:cs="Times New Roman"/>
              <w:spacing w:val="2"/>
              <w:sz w:val="21"/>
              <w:szCs w:val="21"/>
            </w:rPr>
            <w:t>5.6</w:t>
          </w:r>
          <w:r>
            <w:rPr>
              <w:rFonts w:ascii="宋体" w:hAnsi="宋体" w:eastAsia="宋体" w:cs="宋体"/>
              <w:spacing w:val="2"/>
              <w:sz w:val="21"/>
              <w:szCs w:val="21"/>
            </w:rPr>
            <w:t>控制与操作</w:t>
          </w:r>
          <w:r>
            <w:rPr>
              <w:rFonts w:ascii="宋体" w:hAnsi="宋体" w:eastAsia="宋体" w:cs="宋体"/>
              <w:sz w:val="21"/>
              <w:szCs w:val="21"/>
            </w:rPr>
            <w:tab/>
          </w:r>
          <w:r>
            <w:rPr>
              <w:rFonts w:ascii="Times New Roman" w:hAnsi="Times New Roman" w:eastAsia="Times New Roman" w:cs="Times New Roman"/>
              <w:spacing w:val="1"/>
              <w:sz w:val="21"/>
              <w:szCs w:val="21"/>
            </w:rPr>
            <w:t>26</w:t>
          </w:r>
          <w:r>
            <w:rPr>
              <w:rFonts w:ascii="Times New Roman" w:hAnsi="Times New Roman" w:eastAsia="Times New Roman" w:cs="Times New Roman"/>
              <w:spacing w:val="1"/>
              <w:sz w:val="21"/>
              <w:szCs w:val="21"/>
            </w:rPr>
            <w:fldChar w:fldCharType="end"/>
          </w:r>
        </w:p>
        <w:p>
          <w:pPr>
            <w:tabs>
              <w:tab w:val="right" w:leader="dot" w:pos="5855"/>
            </w:tabs>
            <w:spacing w:before="71" w:line="219" w:lineRule="auto"/>
            <w:rPr>
              <w:rFonts w:ascii="Times New Roman" w:hAnsi="Times New Roman" w:eastAsia="Times New Roman" w:cs="Times New Roman"/>
              <w:sz w:val="21"/>
              <w:szCs w:val="21"/>
            </w:rPr>
          </w:pPr>
          <w:r>
            <w:fldChar w:fldCharType="begin"/>
          </w:r>
          <w:r>
            <w:instrText xml:space="preserve"> HYPERLINK \l "bookmark22" </w:instrText>
          </w:r>
          <w:r>
            <w:fldChar w:fldCharType="separate"/>
          </w:r>
          <w:r>
            <w:rPr>
              <w:rFonts w:ascii="Times New Roman" w:hAnsi="Times New Roman" w:eastAsia="Times New Roman" w:cs="Times New Roman"/>
              <w:spacing w:val="2"/>
              <w:sz w:val="21"/>
              <w:szCs w:val="21"/>
            </w:rPr>
            <w:t>6</w:t>
          </w:r>
          <w:r>
            <w:rPr>
              <w:rFonts w:ascii="宋体" w:hAnsi="宋体" w:eastAsia="宋体" w:cs="宋体"/>
              <w:spacing w:val="2"/>
              <w:sz w:val="21"/>
              <w:szCs w:val="21"/>
            </w:rPr>
            <w:t>自动喷水灭火系统</w:t>
          </w:r>
          <w:r>
            <w:rPr>
              <w:rFonts w:ascii="宋体" w:hAnsi="宋体" w:eastAsia="宋体" w:cs="宋体"/>
              <w:sz w:val="21"/>
              <w:szCs w:val="21"/>
            </w:rPr>
            <w:tab/>
          </w:r>
          <w:r>
            <w:rPr>
              <w:rFonts w:ascii="Times New Roman" w:hAnsi="Times New Roman" w:eastAsia="Times New Roman" w:cs="Times New Roman"/>
              <w:spacing w:val="1"/>
              <w:sz w:val="21"/>
              <w:szCs w:val="21"/>
            </w:rPr>
            <w:t>29</w:t>
          </w:r>
          <w:r>
            <w:rPr>
              <w:rFonts w:ascii="Times New Roman" w:hAnsi="Times New Roman" w:eastAsia="Times New Roman" w:cs="Times New Roman"/>
              <w:spacing w:val="1"/>
              <w:sz w:val="21"/>
              <w:szCs w:val="21"/>
            </w:rPr>
            <w:fldChar w:fldCharType="end"/>
          </w:r>
        </w:p>
        <w:p>
          <w:pPr>
            <w:tabs>
              <w:tab w:val="right" w:leader="dot" w:pos="5865"/>
            </w:tabs>
            <w:spacing w:before="62" w:line="220" w:lineRule="auto"/>
            <w:ind w:left="320"/>
            <w:rPr>
              <w:rFonts w:ascii="Times New Roman" w:hAnsi="Times New Roman" w:eastAsia="Times New Roman" w:cs="Times New Roman"/>
              <w:sz w:val="21"/>
              <w:szCs w:val="21"/>
            </w:rPr>
          </w:pPr>
          <w:r>
            <w:fldChar w:fldCharType="begin"/>
          </w:r>
          <w:r>
            <w:instrText xml:space="preserve"> HYPERLINK \l "bookmark23" </w:instrText>
          </w:r>
          <w:r>
            <w:fldChar w:fldCharType="separate"/>
          </w:r>
          <w:r>
            <w:rPr>
              <w:rFonts w:ascii="Times New Roman" w:hAnsi="Times New Roman" w:eastAsia="Times New Roman" w:cs="Times New Roman"/>
              <w:spacing w:val="1"/>
              <w:sz w:val="21"/>
              <w:szCs w:val="21"/>
            </w:rPr>
            <w:t>6.1</w:t>
          </w:r>
          <w:r>
            <w:rPr>
              <w:rFonts w:ascii="宋体" w:hAnsi="宋体" w:eastAsia="宋体" w:cs="宋体"/>
              <w:spacing w:val="1"/>
              <w:sz w:val="21"/>
              <w:szCs w:val="21"/>
            </w:rPr>
            <w:t>一般规定</w:t>
          </w:r>
          <w:r>
            <w:rPr>
              <w:rFonts w:ascii="宋体" w:hAnsi="宋体" w:eastAsia="宋体" w:cs="宋体"/>
              <w:sz w:val="21"/>
              <w:szCs w:val="21"/>
            </w:rPr>
            <w:tab/>
          </w:r>
          <w:r>
            <w:rPr>
              <w:rFonts w:ascii="Times New Roman" w:hAnsi="Times New Roman" w:eastAsia="Times New Roman" w:cs="Times New Roman"/>
              <w:spacing w:val="1"/>
              <w:sz w:val="21"/>
              <w:szCs w:val="21"/>
            </w:rPr>
            <w:t>29</w:t>
          </w:r>
          <w:r>
            <w:rPr>
              <w:rFonts w:ascii="Times New Roman" w:hAnsi="Times New Roman" w:eastAsia="Times New Roman" w:cs="Times New Roman"/>
              <w:spacing w:val="1"/>
              <w:sz w:val="21"/>
              <w:szCs w:val="21"/>
            </w:rPr>
            <w:fldChar w:fldCharType="end"/>
          </w:r>
        </w:p>
        <w:p>
          <w:pPr>
            <w:tabs>
              <w:tab w:val="right" w:leader="dot" w:pos="5850"/>
            </w:tabs>
            <w:spacing w:before="70" w:line="221" w:lineRule="auto"/>
            <w:ind w:left="320"/>
            <w:rPr>
              <w:rFonts w:ascii="Times New Roman" w:hAnsi="Times New Roman" w:eastAsia="Times New Roman" w:cs="Times New Roman"/>
              <w:sz w:val="21"/>
              <w:szCs w:val="21"/>
            </w:rPr>
          </w:pPr>
          <w:r>
            <w:fldChar w:fldCharType="begin"/>
          </w:r>
          <w:r>
            <w:instrText xml:space="preserve"> HYPERLINK \l "bookmark24" </w:instrText>
          </w:r>
          <w:r>
            <w:fldChar w:fldCharType="separate"/>
          </w:r>
          <w:r>
            <w:rPr>
              <w:rFonts w:ascii="Times New Roman" w:hAnsi="Times New Roman" w:eastAsia="Times New Roman" w:cs="Times New Roman"/>
              <w:spacing w:val="1"/>
              <w:sz w:val="21"/>
              <w:szCs w:val="21"/>
            </w:rPr>
            <w:t>6.2</w:t>
          </w:r>
          <w:r>
            <w:rPr>
              <w:rFonts w:ascii="宋体" w:hAnsi="宋体" w:eastAsia="宋体" w:cs="宋体"/>
              <w:spacing w:val="1"/>
              <w:sz w:val="21"/>
              <w:szCs w:val="21"/>
            </w:rPr>
            <w:t>设置要求</w:t>
          </w:r>
          <w:r>
            <w:rPr>
              <w:rFonts w:ascii="宋体" w:hAnsi="宋体" w:eastAsia="宋体" w:cs="宋体"/>
              <w:sz w:val="21"/>
              <w:szCs w:val="21"/>
            </w:rPr>
            <w:tab/>
          </w:r>
          <w:r>
            <w:rPr>
              <w:rFonts w:ascii="Times New Roman" w:hAnsi="Times New Roman" w:eastAsia="Times New Roman" w:cs="Times New Roman"/>
              <w:spacing w:val="-1"/>
              <w:sz w:val="21"/>
              <w:szCs w:val="21"/>
            </w:rPr>
            <w:t>33</w:t>
          </w:r>
          <w:r>
            <w:rPr>
              <w:rFonts w:ascii="Times New Roman" w:hAnsi="Times New Roman" w:eastAsia="Times New Roman" w:cs="Times New Roman"/>
              <w:spacing w:val="-1"/>
              <w:sz w:val="21"/>
              <w:szCs w:val="21"/>
            </w:rPr>
            <w:fldChar w:fldCharType="end"/>
          </w:r>
        </w:p>
      </w:sdtContent>
    </w:sdt>
    <w:p>
      <w:pPr>
        <w:spacing w:line="221" w:lineRule="auto"/>
        <w:rPr>
          <w:rFonts w:ascii="Times New Roman" w:hAnsi="Times New Roman" w:eastAsia="Times New Roman" w:cs="Times New Roman"/>
          <w:sz w:val="21"/>
          <w:szCs w:val="21"/>
        </w:rPr>
        <w:sectPr>
          <w:footerReference r:id="rId9" w:type="default"/>
          <w:pgSz w:w="8280" w:h="11850"/>
          <w:pgMar w:top="1007" w:right="1224" w:bottom="1254" w:left="1190" w:header="0" w:footer="1064" w:gutter="0"/>
          <w:cols w:space="720" w:num="1"/>
        </w:sectPr>
      </w:pPr>
    </w:p>
    <w:sdt>
      <w:sdtPr>
        <w:rPr>
          <w:rFonts w:ascii="Arial" w:hAnsi="Arial" w:eastAsia="Arial" w:cs="Arial"/>
          <w:sz w:val="21"/>
          <w:szCs w:val="21"/>
        </w:rPr>
        <w:id w:val="2"/>
        <w:docPartObj>
          <w:docPartGallery w:val="Table of Contents"/>
          <w:docPartUnique/>
        </w:docPartObj>
      </w:sdtPr>
      <w:sdtEndPr>
        <w:rPr>
          <w:rFonts w:ascii="Times New Roman" w:hAnsi="Times New Roman" w:eastAsia="Times New Roman" w:cs="Times New Roman"/>
          <w:sz w:val="21"/>
          <w:szCs w:val="21"/>
        </w:rPr>
      </w:sdtEndPr>
      <w:sdtContent>
        <w:p>
          <w:pPr>
            <w:tabs>
              <w:tab w:val="right" w:leader="dot" w:pos="5810"/>
            </w:tabs>
            <w:spacing w:before="300" w:line="219" w:lineRule="auto"/>
            <w:ind w:left="320"/>
            <w:rPr>
              <w:rFonts w:ascii="Times New Roman" w:hAnsi="Times New Roman" w:eastAsia="Times New Roman" w:cs="Times New Roman"/>
              <w:sz w:val="21"/>
              <w:szCs w:val="21"/>
            </w:rPr>
          </w:pPr>
          <w:r>
            <w:fldChar w:fldCharType="begin"/>
          </w:r>
          <w:r>
            <w:instrText xml:space="preserve"> HYPERLINK \l "bookmark25" </w:instrText>
          </w:r>
          <w:r>
            <w:fldChar w:fldCharType="separate"/>
          </w:r>
          <w:r>
            <w:rPr>
              <w:rFonts w:ascii="Times New Roman" w:hAnsi="Times New Roman" w:eastAsia="Times New Roman" w:cs="Times New Roman"/>
              <w:spacing w:val="-1"/>
              <w:sz w:val="21"/>
              <w:szCs w:val="21"/>
            </w:rPr>
            <w:t>6.3</w:t>
          </w:r>
          <w:r>
            <w:rPr>
              <w:rFonts w:ascii="宋体" w:hAnsi="宋体" w:eastAsia="宋体" w:cs="宋体"/>
              <w:spacing w:val="-1"/>
              <w:sz w:val="21"/>
              <w:szCs w:val="21"/>
            </w:rPr>
            <w:t>简易自动喷水灭火系统</w:t>
          </w:r>
          <w:r>
            <w:rPr>
              <w:rFonts w:ascii="宋体" w:hAnsi="宋体" w:eastAsia="宋体" w:cs="宋体"/>
              <w:sz w:val="21"/>
              <w:szCs w:val="21"/>
            </w:rPr>
            <w:tab/>
          </w:r>
          <w:r>
            <w:rPr>
              <w:rFonts w:ascii="Times New Roman" w:hAnsi="Times New Roman" w:eastAsia="Times New Roman" w:cs="Times New Roman"/>
              <w:spacing w:val="-1"/>
              <w:sz w:val="21"/>
              <w:szCs w:val="21"/>
            </w:rPr>
            <w:t>34</w:t>
          </w:r>
          <w:r>
            <w:rPr>
              <w:rFonts w:ascii="Times New Roman" w:hAnsi="Times New Roman" w:eastAsia="Times New Roman" w:cs="Times New Roman"/>
              <w:spacing w:val="-1"/>
              <w:sz w:val="21"/>
              <w:szCs w:val="21"/>
            </w:rPr>
            <w:fldChar w:fldCharType="end"/>
          </w:r>
        </w:p>
        <w:p>
          <w:pPr>
            <w:tabs>
              <w:tab w:val="right" w:leader="dot" w:pos="5810"/>
            </w:tabs>
            <w:spacing w:before="82" w:line="219" w:lineRule="auto"/>
            <w:ind w:left="320"/>
            <w:rPr>
              <w:rFonts w:ascii="Times New Roman" w:hAnsi="Times New Roman" w:eastAsia="Times New Roman" w:cs="Times New Roman"/>
              <w:sz w:val="21"/>
              <w:szCs w:val="21"/>
            </w:rPr>
          </w:pPr>
          <w:r>
            <w:fldChar w:fldCharType="begin"/>
          </w:r>
          <w:r>
            <w:instrText xml:space="preserve"> HYPERLINK \l "bookmark26" </w:instrText>
          </w:r>
          <w:r>
            <w:fldChar w:fldCharType="separate"/>
          </w:r>
          <w:r>
            <w:rPr>
              <w:rFonts w:ascii="Times New Roman" w:hAnsi="Times New Roman" w:eastAsia="Times New Roman" w:cs="Times New Roman"/>
              <w:spacing w:val="1"/>
              <w:sz w:val="21"/>
              <w:szCs w:val="21"/>
            </w:rPr>
            <w:t>6.4</w:t>
          </w:r>
          <w:r>
            <w:rPr>
              <w:rFonts w:ascii="宋体" w:hAnsi="宋体" w:eastAsia="宋体" w:cs="宋体"/>
              <w:spacing w:val="1"/>
              <w:sz w:val="21"/>
              <w:szCs w:val="21"/>
            </w:rPr>
            <w:t>控制与操作</w:t>
          </w:r>
          <w:r>
            <w:rPr>
              <w:rFonts w:ascii="宋体" w:hAnsi="宋体" w:eastAsia="宋体" w:cs="宋体"/>
              <w:sz w:val="21"/>
              <w:szCs w:val="21"/>
            </w:rPr>
            <w:tab/>
          </w:r>
          <w:r>
            <w:rPr>
              <w:rFonts w:ascii="Times New Roman" w:hAnsi="Times New Roman" w:eastAsia="Times New Roman" w:cs="Times New Roman"/>
              <w:spacing w:val="-1"/>
              <w:sz w:val="21"/>
              <w:szCs w:val="21"/>
            </w:rPr>
            <w:t>36</w:t>
          </w:r>
          <w:r>
            <w:rPr>
              <w:rFonts w:ascii="Times New Roman" w:hAnsi="Times New Roman" w:eastAsia="Times New Roman" w:cs="Times New Roman"/>
              <w:spacing w:val="-1"/>
              <w:sz w:val="21"/>
              <w:szCs w:val="21"/>
            </w:rPr>
            <w:fldChar w:fldCharType="end"/>
          </w:r>
        </w:p>
        <w:p>
          <w:pPr>
            <w:tabs>
              <w:tab w:val="right" w:leader="dot" w:pos="5820"/>
            </w:tabs>
            <w:spacing w:before="60" w:line="219" w:lineRule="auto"/>
            <w:rPr>
              <w:rFonts w:ascii="Times New Roman" w:hAnsi="Times New Roman" w:eastAsia="Times New Roman" w:cs="Times New Roman"/>
              <w:sz w:val="21"/>
              <w:szCs w:val="21"/>
            </w:rPr>
          </w:pPr>
          <w:r>
            <w:fldChar w:fldCharType="begin"/>
          </w:r>
          <w:r>
            <w:instrText xml:space="preserve"> HYPERLINK \l "bookmark27" </w:instrText>
          </w:r>
          <w:r>
            <w:fldChar w:fldCharType="separate"/>
          </w:r>
          <w:r>
            <w:rPr>
              <w:rFonts w:ascii="Times New Roman" w:hAnsi="Times New Roman" w:eastAsia="Times New Roman" w:cs="Times New Roman"/>
              <w:sz w:val="21"/>
              <w:szCs w:val="21"/>
            </w:rPr>
            <w:t>7</w:t>
          </w:r>
          <w:r>
            <w:rPr>
              <w:rFonts w:ascii="宋体" w:hAnsi="宋体" w:eastAsia="宋体" w:cs="宋体"/>
              <w:sz w:val="21"/>
              <w:szCs w:val="21"/>
            </w:rPr>
            <w:t>自动跟踪定位射流灭火系统</w:t>
          </w:r>
          <w:r>
            <w:rPr>
              <w:rFonts w:ascii="宋体" w:hAnsi="宋体" w:eastAsia="宋体" w:cs="宋体"/>
              <w:sz w:val="21"/>
              <w:szCs w:val="21"/>
            </w:rPr>
            <w:tab/>
          </w:r>
          <w:r>
            <w:rPr>
              <w:rFonts w:ascii="Times New Roman" w:hAnsi="Times New Roman" w:eastAsia="Times New Roman" w:cs="Times New Roman"/>
              <w:spacing w:val="-1"/>
              <w:sz w:val="21"/>
              <w:szCs w:val="21"/>
            </w:rPr>
            <w:t>37</w:t>
          </w:r>
          <w:r>
            <w:rPr>
              <w:rFonts w:ascii="Times New Roman" w:hAnsi="Times New Roman" w:eastAsia="Times New Roman" w:cs="Times New Roman"/>
              <w:spacing w:val="-1"/>
              <w:sz w:val="21"/>
              <w:szCs w:val="21"/>
            </w:rPr>
            <w:fldChar w:fldCharType="end"/>
          </w:r>
        </w:p>
        <w:p>
          <w:pPr>
            <w:tabs>
              <w:tab w:val="right" w:leader="dot" w:pos="5814"/>
            </w:tabs>
            <w:spacing w:before="67" w:line="219" w:lineRule="auto"/>
            <w:rPr>
              <w:rFonts w:ascii="Times New Roman" w:hAnsi="Times New Roman" w:eastAsia="Times New Roman" w:cs="Times New Roman"/>
              <w:sz w:val="21"/>
              <w:szCs w:val="21"/>
            </w:rPr>
          </w:pPr>
          <w:r>
            <w:fldChar w:fldCharType="begin"/>
          </w:r>
          <w:r>
            <w:instrText xml:space="preserve"> HYPERLINK \l "bookmark28" </w:instrText>
          </w:r>
          <w:r>
            <w:fldChar w:fldCharType="separate"/>
          </w:r>
          <w:r>
            <w:rPr>
              <w:rFonts w:ascii="Times New Roman" w:hAnsi="Times New Roman" w:eastAsia="Times New Roman" w:cs="Times New Roman"/>
              <w:b/>
              <w:bCs/>
              <w:spacing w:val="3"/>
              <w:sz w:val="21"/>
              <w:szCs w:val="21"/>
            </w:rPr>
            <w:t>8</w:t>
          </w:r>
          <w:r>
            <w:rPr>
              <w:rFonts w:ascii="宋体" w:hAnsi="宋体" w:eastAsia="宋体" w:cs="宋体"/>
              <w:b/>
              <w:bCs/>
              <w:spacing w:val="3"/>
              <w:sz w:val="21"/>
              <w:szCs w:val="21"/>
            </w:rPr>
            <w:t>其他灭火系统及装置</w:t>
          </w:r>
          <w:r>
            <w:rPr>
              <w:rFonts w:ascii="宋体" w:hAnsi="宋体" w:eastAsia="宋体" w:cs="宋体"/>
              <w:sz w:val="21"/>
              <w:szCs w:val="21"/>
            </w:rPr>
            <w:tab/>
          </w:r>
          <w:r>
            <w:rPr>
              <w:rFonts w:ascii="Times New Roman" w:hAnsi="Times New Roman" w:eastAsia="Times New Roman" w:cs="Times New Roman"/>
              <w:b/>
              <w:bCs/>
              <w:spacing w:val="-2"/>
              <w:sz w:val="21"/>
              <w:szCs w:val="21"/>
            </w:rPr>
            <w:t>40</w:t>
          </w:r>
          <w:r>
            <w:rPr>
              <w:rFonts w:ascii="Times New Roman" w:hAnsi="Times New Roman" w:eastAsia="Times New Roman" w:cs="Times New Roman"/>
              <w:b/>
              <w:bCs/>
              <w:spacing w:val="-2"/>
              <w:sz w:val="21"/>
              <w:szCs w:val="21"/>
            </w:rPr>
            <w:fldChar w:fldCharType="end"/>
          </w:r>
        </w:p>
        <w:p>
          <w:pPr>
            <w:tabs>
              <w:tab w:val="right" w:leader="dot" w:pos="5824"/>
            </w:tabs>
            <w:spacing w:before="59" w:line="219" w:lineRule="auto"/>
            <w:ind w:left="320"/>
            <w:rPr>
              <w:rFonts w:ascii="Times New Roman" w:hAnsi="Times New Roman" w:eastAsia="Times New Roman" w:cs="Times New Roman"/>
              <w:sz w:val="21"/>
              <w:szCs w:val="21"/>
            </w:rPr>
          </w:pPr>
          <w:r>
            <w:fldChar w:fldCharType="begin"/>
          </w:r>
          <w:r>
            <w:instrText xml:space="preserve"> HYPERLINK \l "bookmark29" </w:instrText>
          </w:r>
          <w:r>
            <w:fldChar w:fldCharType="separate"/>
          </w:r>
          <w:r>
            <w:rPr>
              <w:rFonts w:ascii="Times New Roman" w:hAnsi="Times New Roman" w:eastAsia="Times New Roman" w:cs="Times New Roman"/>
              <w:b/>
              <w:bCs/>
              <w:spacing w:val="-2"/>
              <w:sz w:val="21"/>
              <w:szCs w:val="21"/>
            </w:rPr>
            <w:t>8.1</w:t>
          </w:r>
          <w:r>
            <w:rPr>
              <w:rFonts w:ascii="宋体" w:hAnsi="宋体" w:eastAsia="宋体" w:cs="宋体"/>
              <w:b/>
              <w:bCs/>
              <w:spacing w:val="-2"/>
              <w:sz w:val="21"/>
              <w:szCs w:val="21"/>
            </w:rPr>
            <w:t>氮气灭火系统</w:t>
          </w:r>
          <w:r>
            <w:rPr>
              <w:rFonts w:ascii="宋体" w:hAnsi="宋体" w:eastAsia="宋体" w:cs="宋体"/>
              <w:sz w:val="21"/>
              <w:szCs w:val="21"/>
            </w:rPr>
            <w:tab/>
          </w:r>
          <w:r>
            <w:rPr>
              <w:rFonts w:ascii="Times New Roman" w:hAnsi="Times New Roman" w:eastAsia="Times New Roman" w:cs="Times New Roman"/>
              <w:b/>
              <w:bCs/>
              <w:spacing w:val="3"/>
              <w:sz w:val="21"/>
              <w:szCs w:val="21"/>
            </w:rPr>
            <w:t>40</w:t>
          </w:r>
          <w:r>
            <w:rPr>
              <w:rFonts w:ascii="Times New Roman" w:hAnsi="Times New Roman" w:eastAsia="Times New Roman" w:cs="Times New Roman"/>
              <w:b/>
              <w:bCs/>
              <w:spacing w:val="3"/>
              <w:sz w:val="21"/>
              <w:szCs w:val="21"/>
            </w:rPr>
            <w:fldChar w:fldCharType="end"/>
          </w:r>
        </w:p>
        <w:p>
          <w:pPr>
            <w:tabs>
              <w:tab w:val="right" w:leader="dot" w:pos="5824"/>
            </w:tabs>
            <w:spacing w:before="53" w:line="219" w:lineRule="auto"/>
            <w:ind w:left="320"/>
            <w:rPr>
              <w:rFonts w:ascii="Times New Roman" w:hAnsi="Times New Roman" w:eastAsia="Times New Roman" w:cs="Times New Roman"/>
              <w:sz w:val="21"/>
              <w:szCs w:val="21"/>
            </w:rPr>
          </w:pPr>
          <w:r>
            <w:fldChar w:fldCharType="begin"/>
          </w:r>
          <w:r>
            <w:instrText xml:space="preserve"> HYPERLINK \l "bookmark30" </w:instrText>
          </w:r>
          <w:r>
            <w:fldChar w:fldCharType="separate"/>
          </w:r>
          <w:r>
            <w:rPr>
              <w:rFonts w:ascii="Times New Roman" w:hAnsi="Times New Roman" w:eastAsia="Times New Roman" w:cs="Times New Roman"/>
              <w:b/>
              <w:bCs/>
              <w:spacing w:val="-2"/>
              <w:sz w:val="21"/>
              <w:szCs w:val="21"/>
            </w:rPr>
            <w:t>8.2</w:t>
          </w:r>
          <w:r>
            <w:rPr>
              <w:rFonts w:ascii="宋体" w:hAnsi="宋体" w:eastAsia="宋体" w:cs="宋体"/>
              <w:b/>
              <w:bCs/>
              <w:spacing w:val="-2"/>
              <w:sz w:val="21"/>
              <w:szCs w:val="21"/>
            </w:rPr>
            <w:t>探火管灭火装置</w:t>
          </w:r>
          <w:r>
            <w:rPr>
              <w:rFonts w:ascii="宋体" w:hAnsi="宋体" w:eastAsia="宋体" w:cs="宋体"/>
              <w:sz w:val="21"/>
              <w:szCs w:val="21"/>
            </w:rPr>
            <w:tab/>
          </w:r>
          <w:r>
            <w:rPr>
              <w:rFonts w:ascii="Times New Roman" w:hAnsi="Times New Roman" w:eastAsia="Times New Roman" w:cs="Times New Roman"/>
              <w:b/>
              <w:bCs/>
              <w:spacing w:val="3"/>
              <w:sz w:val="21"/>
              <w:szCs w:val="21"/>
            </w:rPr>
            <w:t>47</w:t>
          </w:r>
          <w:r>
            <w:rPr>
              <w:rFonts w:ascii="Times New Roman" w:hAnsi="Times New Roman" w:eastAsia="Times New Roman" w:cs="Times New Roman"/>
              <w:b/>
              <w:bCs/>
              <w:spacing w:val="3"/>
              <w:sz w:val="21"/>
              <w:szCs w:val="21"/>
            </w:rPr>
            <w:fldChar w:fldCharType="end"/>
          </w:r>
        </w:p>
        <w:p>
          <w:pPr>
            <w:tabs>
              <w:tab w:val="right" w:leader="dot" w:pos="5822"/>
            </w:tabs>
            <w:spacing w:before="59" w:line="219" w:lineRule="auto"/>
            <w:ind w:left="320"/>
            <w:rPr>
              <w:rFonts w:ascii="Times New Roman" w:hAnsi="Times New Roman" w:eastAsia="Times New Roman" w:cs="Times New Roman"/>
              <w:sz w:val="21"/>
              <w:szCs w:val="21"/>
            </w:rPr>
          </w:pPr>
          <w:r>
            <w:fldChar w:fldCharType="begin"/>
          </w:r>
          <w:r>
            <w:instrText xml:space="preserve"> HYPERLINK \l "bookmark31" </w:instrText>
          </w:r>
          <w:r>
            <w:fldChar w:fldCharType="separate"/>
          </w:r>
          <w:r>
            <w:rPr>
              <w:rFonts w:ascii="Times New Roman" w:hAnsi="Times New Roman" w:eastAsia="Times New Roman" w:cs="Times New Roman"/>
              <w:b/>
              <w:bCs/>
              <w:spacing w:val="-2"/>
              <w:sz w:val="21"/>
              <w:szCs w:val="21"/>
            </w:rPr>
            <w:t>8.3</w:t>
          </w:r>
          <w:r>
            <w:rPr>
              <w:rFonts w:ascii="宋体" w:hAnsi="宋体" w:eastAsia="宋体" w:cs="宋体"/>
              <w:b/>
              <w:bCs/>
              <w:spacing w:val="-2"/>
              <w:sz w:val="21"/>
              <w:szCs w:val="21"/>
            </w:rPr>
            <w:t>超细干粉自动灭火装置</w:t>
          </w:r>
          <w:r>
            <w:rPr>
              <w:rFonts w:ascii="宋体" w:hAnsi="宋体" w:eastAsia="宋体" w:cs="宋体"/>
              <w:sz w:val="21"/>
              <w:szCs w:val="21"/>
            </w:rPr>
            <w:tab/>
          </w:r>
          <w:r>
            <w:rPr>
              <w:rFonts w:ascii="Times New Roman" w:hAnsi="Times New Roman" w:eastAsia="Times New Roman" w:cs="Times New Roman"/>
              <w:b/>
              <w:bCs/>
              <w:spacing w:val="2"/>
              <w:sz w:val="21"/>
              <w:szCs w:val="21"/>
            </w:rPr>
            <w:t>50</w:t>
          </w:r>
          <w:r>
            <w:rPr>
              <w:rFonts w:ascii="Times New Roman" w:hAnsi="Times New Roman" w:eastAsia="Times New Roman" w:cs="Times New Roman"/>
              <w:b/>
              <w:bCs/>
              <w:spacing w:val="2"/>
              <w:sz w:val="21"/>
              <w:szCs w:val="21"/>
            </w:rPr>
            <w:fldChar w:fldCharType="end"/>
          </w:r>
        </w:p>
        <w:p>
          <w:pPr>
            <w:tabs>
              <w:tab w:val="right" w:leader="dot" w:pos="5822"/>
            </w:tabs>
            <w:spacing w:before="71" w:line="219" w:lineRule="auto"/>
            <w:ind w:left="3"/>
            <w:rPr>
              <w:rFonts w:ascii="Times New Roman" w:hAnsi="Times New Roman" w:eastAsia="Times New Roman" w:cs="Times New Roman"/>
              <w:sz w:val="21"/>
              <w:szCs w:val="21"/>
            </w:rPr>
          </w:pPr>
          <w:r>
            <w:fldChar w:fldCharType="begin"/>
          </w:r>
          <w:r>
            <w:instrText xml:space="preserve"> HYPERLINK \l "bookmark32" </w:instrText>
          </w:r>
          <w:r>
            <w:fldChar w:fldCharType="separate"/>
          </w:r>
          <w:r>
            <w:rPr>
              <w:rFonts w:ascii="宋体" w:hAnsi="宋体" w:eastAsia="宋体" w:cs="宋体"/>
              <w:b/>
              <w:bCs/>
              <w:spacing w:val="-4"/>
              <w:sz w:val="21"/>
              <w:szCs w:val="21"/>
            </w:rPr>
            <w:t>本标准用词说明</w:t>
          </w:r>
          <w:r>
            <w:rPr>
              <w:rFonts w:ascii="宋体" w:hAnsi="宋体" w:eastAsia="宋体" w:cs="宋体"/>
              <w:sz w:val="21"/>
              <w:szCs w:val="21"/>
            </w:rPr>
            <w:tab/>
          </w:r>
          <w:r>
            <w:rPr>
              <w:rFonts w:ascii="Times New Roman" w:hAnsi="Times New Roman" w:eastAsia="Times New Roman" w:cs="Times New Roman"/>
              <w:b/>
              <w:bCs/>
              <w:spacing w:val="2"/>
              <w:sz w:val="21"/>
              <w:szCs w:val="21"/>
            </w:rPr>
            <w:t>52</w:t>
          </w:r>
          <w:r>
            <w:rPr>
              <w:rFonts w:ascii="Times New Roman" w:hAnsi="Times New Roman" w:eastAsia="Times New Roman" w:cs="Times New Roman"/>
              <w:b/>
              <w:bCs/>
              <w:spacing w:val="2"/>
              <w:sz w:val="21"/>
              <w:szCs w:val="21"/>
            </w:rPr>
            <w:fldChar w:fldCharType="end"/>
          </w:r>
        </w:p>
        <w:p>
          <w:pPr>
            <w:tabs>
              <w:tab w:val="right" w:leader="dot" w:pos="5822"/>
            </w:tabs>
            <w:spacing w:before="63" w:line="220" w:lineRule="auto"/>
            <w:ind w:left="3"/>
            <w:rPr>
              <w:rFonts w:ascii="Times New Roman" w:hAnsi="Times New Roman" w:eastAsia="Times New Roman" w:cs="Times New Roman"/>
              <w:sz w:val="21"/>
              <w:szCs w:val="21"/>
            </w:rPr>
          </w:pPr>
          <w:r>
            <w:fldChar w:fldCharType="begin"/>
          </w:r>
          <w:r>
            <w:instrText xml:space="preserve"> HYPERLINK \l "bookmark33" </w:instrText>
          </w:r>
          <w:r>
            <w:fldChar w:fldCharType="separate"/>
          </w:r>
          <w:r>
            <w:rPr>
              <w:rFonts w:ascii="宋体" w:hAnsi="宋体" w:eastAsia="宋体" w:cs="宋体"/>
              <w:b/>
              <w:bCs/>
              <w:spacing w:val="-2"/>
              <w:sz w:val="21"/>
              <w:szCs w:val="21"/>
            </w:rPr>
            <w:t>引用标准名录</w:t>
          </w:r>
          <w:r>
            <w:rPr>
              <w:rFonts w:ascii="宋体" w:hAnsi="宋体" w:eastAsia="宋体" w:cs="宋体"/>
              <w:sz w:val="21"/>
              <w:szCs w:val="21"/>
            </w:rPr>
            <w:tab/>
          </w:r>
          <w:r>
            <w:rPr>
              <w:rFonts w:ascii="Times New Roman" w:hAnsi="Times New Roman" w:eastAsia="Times New Roman" w:cs="Times New Roman"/>
              <w:b/>
              <w:bCs/>
              <w:spacing w:val="2"/>
              <w:sz w:val="21"/>
              <w:szCs w:val="21"/>
            </w:rPr>
            <w:t>53</w:t>
          </w:r>
          <w:r>
            <w:rPr>
              <w:rFonts w:ascii="Times New Roman" w:hAnsi="Times New Roman" w:eastAsia="Times New Roman" w:cs="Times New Roman"/>
              <w:b/>
              <w:bCs/>
              <w:spacing w:val="2"/>
              <w:sz w:val="21"/>
              <w:szCs w:val="21"/>
            </w:rPr>
            <w:fldChar w:fldCharType="end"/>
          </w:r>
        </w:p>
        <w:p>
          <w:pPr>
            <w:tabs>
              <w:tab w:val="right" w:leader="dot" w:pos="5822"/>
            </w:tabs>
            <w:spacing w:before="59" w:line="219" w:lineRule="auto"/>
            <w:ind w:left="3"/>
            <w:rPr>
              <w:rFonts w:ascii="Times New Roman" w:hAnsi="Times New Roman" w:eastAsia="Times New Roman" w:cs="Times New Roman"/>
              <w:sz w:val="21"/>
              <w:szCs w:val="21"/>
            </w:rPr>
          </w:pPr>
          <w:r>
            <w:fldChar w:fldCharType="begin"/>
          </w:r>
          <w:r>
            <w:instrText xml:space="preserve"> HYPERLINK \l "bookmark34" </w:instrText>
          </w:r>
          <w:r>
            <w:fldChar w:fldCharType="separate"/>
          </w:r>
          <w:r>
            <w:rPr>
              <w:rFonts w:ascii="宋体" w:hAnsi="宋体" w:eastAsia="宋体" w:cs="宋体"/>
              <w:b/>
              <w:bCs/>
              <w:spacing w:val="-3"/>
              <w:sz w:val="21"/>
              <w:szCs w:val="21"/>
            </w:rPr>
            <w:t>标准上一版编制单位及人员信息</w:t>
          </w:r>
          <w:r>
            <w:rPr>
              <w:rFonts w:ascii="宋体" w:hAnsi="宋体" w:eastAsia="宋体" w:cs="宋体"/>
              <w:b/>
              <w:bCs/>
              <w:sz w:val="21"/>
              <w:szCs w:val="21"/>
            </w:rPr>
            <w:tab/>
          </w:r>
          <w:r>
            <w:rPr>
              <w:rFonts w:ascii="Times New Roman" w:hAnsi="Times New Roman" w:eastAsia="Times New Roman" w:cs="Times New Roman"/>
              <w:b/>
              <w:bCs/>
              <w:spacing w:val="2"/>
              <w:sz w:val="21"/>
              <w:szCs w:val="21"/>
            </w:rPr>
            <w:t>55</w:t>
          </w:r>
          <w:r>
            <w:rPr>
              <w:rFonts w:ascii="Times New Roman" w:hAnsi="Times New Roman" w:eastAsia="Times New Roman" w:cs="Times New Roman"/>
              <w:b/>
              <w:bCs/>
              <w:spacing w:val="2"/>
              <w:sz w:val="21"/>
              <w:szCs w:val="21"/>
            </w:rPr>
            <w:fldChar w:fldCharType="end"/>
          </w:r>
        </w:p>
        <w:p>
          <w:pPr>
            <w:tabs>
              <w:tab w:val="right" w:leader="dot" w:pos="5822"/>
            </w:tabs>
            <w:spacing w:before="81" w:line="219" w:lineRule="auto"/>
            <w:ind w:left="3"/>
            <w:rPr>
              <w:rFonts w:ascii="Times New Roman" w:hAnsi="Times New Roman" w:eastAsia="Times New Roman" w:cs="Times New Roman"/>
              <w:sz w:val="21"/>
              <w:szCs w:val="21"/>
            </w:rPr>
          </w:pPr>
          <w:r>
            <w:fldChar w:fldCharType="begin"/>
          </w:r>
          <w:r>
            <w:instrText xml:space="preserve"> HYPERLINK \l "bookmark35" </w:instrText>
          </w:r>
          <w:r>
            <w:fldChar w:fldCharType="separate"/>
          </w:r>
          <w:r>
            <w:rPr>
              <w:rFonts w:ascii="宋体" w:hAnsi="宋体" w:eastAsia="宋体" w:cs="宋体"/>
              <w:b/>
              <w:bCs/>
              <w:spacing w:val="-5"/>
              <w:sz w:val="21"/>
              <w:szCs w:val="21"/>
            </w:rPr>
            <w:t>条文说明</w:t>
          </w:r>
          <w:r>
            <w:rPr>
              <w:rFonts w:ascii="宋体" w:hAnsi="宋体" w:eastAsia="宋体" w:cs="宋体"/>
              <w:sz w:val="21"/>
              <w:szCs w:val="21"/>
            </w:rPr>
            <w:tab/>
          </w:r>
          <w:r>
            <w:rPr>
              <w:rFonts w:ascii="Times New Roman" w:hAnsi="Times New Roman" w:eastAsia="Times New Roman" w:cs="Times New Roman"/>
              <w:b/>
              <w:bCs/>
              <w:spacing w:val="2"/>
              <w:sz w:val="21"/>
              <w:szCs w:val="21"/>
            </w:rPr>
            <w:t>57</w:t>
          </w:r>
          <w:r>
            <w:rPr>
              <w:rFonts w:ascii="Times New Roman" w:hAnsi="Times New Roman" w:eastAsia="Times New Roman" w:cs="Times New Roman"/>
              <w:b/>
              <w:bCs/>
              <w:spacing w:val="2"/>
              <w:sz w:val="21"/>
              <w:szCs w:val="21"/>
            </w:rPr>
            <w:fldChar w:fldCharType="end"/>
          </w:r>
        </w:p>
      </w:sdtContent>
    </w:sdt>
    <w:p>
      <w:pPr>
        <w:spacing w:line="219" w:lineRule="auto"/>
        <w:rPr>
          <w:rFonts w:ascii="Times New Roman" w:hAnsi="Times New Roman" w:eastAsia="Times New Roman" w:cs="Times New Roman"/>
          <w:sz w:val="21"/>
          <w:szCs w:val="21"/>
        </w:rPr>
        <w:sectPr>
          <w:footerReference r:id="rId10" w:type="default"/>
          <w:pgSz w:w="8280" w:h="11850"/>
          <w:pgMar w:top="1007" w:right="1235" w:bottom="1374" w:left="1219" w:header="0" w:footer="1184" w:gutter="0"/>
          <w:cols w:space="720" w:num="1"/>
        </w:sectPr>
      </w:pPr>
    </w:p>
    <w:p>
      <w:pPr>
        <w:pStyle w:val="2"/>
        <w:spacing w:line="254" w:lineRule="auto"/>
      </w:pPr>
    </w:p>
    <w:p>
      <w:pPr>
        <w:pStyle w:val="2"/>
        <w:spacing w:line="254" w:lineRule="auto"/>
      </w:pPr>
    </w:p>
    <w:p>
      <w:pPr>
        <w:pStyle w:val="2"/>
        <w:spacing w:line="254" w:lineRule="auto"/>
      </w:pPr>
    </w:p>
    <w:sdt>
      <w:sdtPr>
        <w:rPr>
          <w:rFonts w:ascii="Times New Roman" w:hAnsi="Times New Roman" w:eastAsia="Times New Roman" w:cs="Times New Roman"/>
          <w:sz w:val="32"/>
          <w:szCs w:val="32"/>
        </w:rPr>
        <w:id w:val="3"/>
        <w:docPartObj>
          <w:docPartGallery w:val="Table of Contents"/>
          <w:docPartUnique/>
        </w:docPartObj>
      </w:sdtPr>
      <w:sdtEndPr>
        <w:rPr>
          <w:rFonts w:ascii="Times New Roman" w:hAnsi="Times New Roman" w:eastAsia="Times New Roman" w:cs="Times New Roman"/>
          <w:sz w:val="21"/>
          <w:szCs w:val="21"/>
        </w:rPr>
      </w:sdtEndPr>
      <w:sdtContent>
        <w:p>
          <w:pPr>
            <w:spacing w:before="92" w:line="188" w:lineRule="auto"/>
            <w:ind w:left="2409"/>
            <w:rPr>
              <w:rFonts w:ascii="Times New Roman" w:hAnsi="Times New Roman" w:eastAsia="Times New Roman" w:cs="Times New Roman"/>
              <w:sz w:val="32"/>
              <w:szCs w:val="32"/>
            </w:rPr>
          </w:pPr>
          <w:r>
            <w:rPr>
              <w:rFonts w:ascii="Times New Roman" w:hAnsi="Times New Roman" w:eastAsia="Times New Roman" w:cs="Times New Roman"/>
              <w:b/>
              <w:bCs/>
              <w:spacing w:val="-16"/>
              <w:sz w:val="32"/>
              <w:szCs w:val="32"/>
            </w:rPr>
            <w:t>Contents</w:t>
          </w:r>
        </w:p>
        <w:p>
          <w:pPr>
            <w:pStyle w:val="2"/>
            <w:spacing w:line="324" w:lineRule="auto"/>
          </w:pPr>
        </w:p>
        <w:p>
          <w:pPr>
            <w:pStyle w:val="2"/>
            <w:spacing w:line="324" w:lineRule="auto"/>
          </w:pPr>
        </w:p>
        <w:p>
          <w:pPr>
            <w:tabs>
              <w:tab w:val="right" w:leader="dot" w:pos="5850"/>
            </w:tabs>
            <w:spacing w:before="60" w:line="192" w:lineRule="auto"/>
            <w:rPr>
              <w:rFonts w:ascii="Times New Roman" w:hAnsi="Times New Roman" w:eastAsia="Times New Roman" w:cs="Times New Roman"/>
              <w:sz w:val="21"/>
              <w:szCs w:val="21"/>
            </w:rPr>
          </w:pPr>
          <w:r>
            <w:fldChar w:fldCharType="begin"/>
          </w:r>
          <w:r>
            <w:instrText xml:space="preserve"> HYPERLINK \l "bookmark36" </w:instrText>
          </w:r>
          <w:r>
            <w:fldChar w:fldCharType="separate"/>
          </w:r>
          <w:r>
            <w:rPr>
              <w:rFonts w:ascii="Times New Roman" w:hAnsi="Times New Roman" w:eastAsia="Times New Roman" w:cs="Times New Roman"/>
              <w:spacing w:val="-1"/>
              <w:sz w:val="21"/>
              <w:szCs w:val="21"/>
            </w:rPr>
            <w:t>1Generalprovisi</w:t>
          </w:r>
          <w:r>
            <w:rPr>
              <w:rFonts w:ascii="Times New Roman" w:hAnsi="Times New Roman" w:eastAsia="Times New Roman" w:cs="Times New Roman"/>
              <w:spacing w:val="-2"/>
              <w:sz w:val="21"/>
              <w:szCs w:val="21"/>
            </w:rPr>
            <w:t>ons</w:t>
          </w:r>
          <w:r>
            <w:rPr>
              <w:rFonts w:ascii="Times New Roman" w:hAnsi="Times New Roman" w:eastAsia="Times New Roman" w:cs="Times New Roman"/>
              <w:sz w:val="21"/>
              <w:szCs w:val="21"/>
            </w:rPr>
            <w:tab/>
          </w:r>
          <w:r>
            <w:rPr>
              <w:rFonts w:ascii="Times New Roman" w:hAnsi="Times New Roman" w:eastAsia="Times New Roman" w:cs="Times New Roman"/>
              <w:spacing w:val="-31"/>
              <w:sz w:val="21"/>
              <w:szCs w:val="21"/>
            </w:rPr>
            <w:t>1</w:t>
          </w:r>
          <w:r>
            <w:rPr>
              <w:rFonts w:ascii="Times New Roman" w:hAnsi="Times New Roman" w:eastAsia="Times New Roman" w:cs="Times New Roman"/>
              <w:spacing w:val="-31"/>
              <w:sz w:val="21"/>
              <w:szCs w:val="21"/>
            </w:rPr>
            <w:fldChar w:fldCharType="end"/>
          </w:r>
        </w:p>
        <w:p>
          <w:pPr>
            <w:tabs>
              <w:tab w:val="right" w:leader="dot" w:pos="5860"/>
            </w:tabs>
            <w:spacing w:before="106" w:line="192" w:lineRule="auto"/>
            <w:rPr>
              <w:rFonts w:ascii="Times New Roman" w:hAnsi="Times New Roman" w:eastAsia="Times New Roman" w:cs="Times New Roman"/>
              <w:sz w:val="21"/>
              <w:szCs w:val="21"/>
            </w:rPr>
          </w:pPr>
          <w:r>
            <w:fldChar w:fldCharType="begin"/>
          </w:r>
          <w:r>
            <w:instrText xml:space="preserve"> HYPERLINK \l "bookmark37" </w:instrText>
          </w:r>
          <w:r>
            <w:fldChar w:fldCharType="separate"/>
          </w:r>
          <w:r>
            <w:rPr>
              <w:rFonts w:ascii="Times New Roman" w:hAnsi="Times New Roman" w:eastAsia="Times New Roman" w:cs="Times New Roman"/>
              <w:spacing w:val="-1"/>
              <w:sz w:val="21"/>
              <w:szCs w:val="21"/>
            </w:rPr>
            <w:t>2Termsandsymbols</w:t>
          </w:r>
          <w:r>
            <w:rPr>
              <w:rFonts w:ascii="Times New Roman" w:hAnsi="Times New Roman" w:eastAsia="Times New Roman" w:cs="Times New Roman"/>
              <w:sz w:val="21"/>
              <w:szCs w:val="21"/>
            </w:rPr>
            <w:tab/>
          </w:r>
          <w:r>
            <w:rPr>
              <w:rFonts w:ascii="Times New Roman" w:hAnsi="Times New Roman" w:eastAsia="Times New Roman" w:cs="Times New Roman"/>
              <w:spacing w:val="2"/>
              <w:sz w:val="21"/>
              <w:szCs w:val="21"/>
            </w:rPr>
            <w:t>2</w:t>
          </w:r>
          <w:r>
            <w:rPr>
              <w:rFonts w:ascii="Times New Roman" w:hAnsi="Times New Roman" w:eastAsia="Times New Roman" w:cs="Times New Roman"/>
              <w:spacing w:val="2"/>
              <w:sz w:val="21"/>
              <w:szCs w:val="21"/>
            </w:rPr>
            <w:fldChar w:fldCharType="end"/>
          </w:r>
        </w:p>
        <w:p>
          <w:pPr>
            <w:tabs>
              <w:tab w:val="right" w:leader="dot" w:pos="5870"/>
            </w:tabs>
            <w:spacing w:before="153" w:line="188" w:lineRule="auto"/>
            <w:ind w:left="310"/>
            <w:rPr>
              <w:rFonts w:ascii="Times New Roman" w:hAnsi="Times New Roman" w:eastAsia="Times New Roman" w:cs="Times New Roman"/>
              <w:sz w:val="21"/>
              <w:szCs w:val="21"/>
            </w:rPr>
          </w:pPr>
          <w:r>
            <w:fldChar w:fldCharType="begin"/>
          </w:r>
          <w:r>
            <w:instrText xml:space="preserve"> HYPERLINK \l "bookmark38" </w:instrText>
          </w:r>
          <w:r>
            <w:fldChar w:fldCharType="separate"/>
          </w:r>
          <w:r>
            <w:rPr>
              <w:rFonts w:ascii="Times New Roman" w:hAnsi="Times New Roman" w:eastAsia="Times New Roman" w:cs="Times New Roman"/>
              <w:spacing w:val="-2"/>
              <w:sz w:val="21"/>
              <w:szCs w:val="21"/>
            </w:rPr>
            <w:t>2.1Terms</w:t>
          </w:r>
          <w:r>
            <w:rPr>
              <w:rFonts w:ascii="Times New Roman" w:hAnsi="Times New Roman" w:eastAsia="Times New Roman" w:cs="Times New Roman"/>
              <w:sz w:val="21"/>
              <w:szCs w:val="21"/>
            </w:rPr>
            <w:tab/>
          </w:r>
          <w:r>
            <w:rPr>
              <w:rFonts w:ascii="Times New Roman" w:hAnsi="Times New Roman" w:eastAsia="Times New Roman" w:cs="Times New Roman"/>
              <w:spacing w:val="2"/>
              <w:sz w:val="21"/>
              <w:szCs w:val="21"/>
            </w:rPr>
            <w:t>2</w:t>
          </w:r>
          <w:r>
            <w:rPr>
              <w:rFonts w:ascii="Times New Roman" w:hAnsi="Times New Roman" w:eastAsia="Times New Roman" w:cs="Times New Roman"/>
              <w:spacing w:val="2"/>
              <w:sz w:val="21"/>
              <w:szCs w:val="21"/>
            </w:rPr>
            <w:fldChar w:fldCharType="end"/>
          </w:r>
        </w:p>
        <w:p>
          <w:pPr>
            <w:tabs>
              <w:tab w:val="right" w:leader="dot" w:pos="5855"/>
            </w:tabs>
            <w:spacing w:before="94" w:line="192" w:lineRule="auto"/>
            <w:ind w:left="310"/>
            <w:rPr>
              <w:rFonts w:ascii="Times New Roman" w:hAnsi="Times New Roman" w:eastAsia="Times New Roman" w:cs="Times New Roman"/>
              <w:sz w:val="21"/>
              <w:szCs w:val="21"/>
            </w:rPr>
          </w:pPr>
          <w:r>
            <w:fldChar w:fldCharType="begin"/>
          </w:r>
          <w:r>
            <w:instrText xml:space="preserve"> HYPERLINK \l "bookmark39" </w:instrText>
          </w:r>
          <w:r>
            <w:fldChar w:fldCharType="separate"/>
          </w:r>
          <w:r>
            <w:rPr>
              <w:rFonts w:ascii="Times New Roman" w:hAnsi="Times New Roman" w:eastAsia="Times New Roman" w:cs="Times New Roman"/>
              <w:spacing w:val="-2"/>
              <w:sz w:val="21"/>
              <w:szCs w:val="21"/>
            </w:rPr>
            <w:t>2.2Symbols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t>3</w:t>
          </w:r>
          <w:r>
            <w:rPr>
              <w:rFonts w:ascii="Times New Roman" w:hAnsi="Times New Roman" w:eastAsia="Times New Roman" w:cs="Times New Roman"/>
              <w:sz w:val="21"/>
              <w:szCs w:val="21"/>
            </w:rPr>
            <w:fldChar w:fldCharType="end"/>
          </w:r>
        </w:p>
        <w:p>
          <w:pPr>
            <w:tabs>
              <w:tab w:val="right" w:leader="dot" w:pos="5860"/>
            </w:tabs>
            <w:spacing w:before="126" w:line="192" w:lineRule="auto"/>
            <w:rPr>
              <w:rFonts w:ascii="Times New Roman" w:hAnsi="Times New Roman" w:eastAsia="Times New Roman" w:cs="Times New Roman"/>
              <w:sz w:val="21"/>
              <w:szCs w:val="21"/>
            </w:rPr>
          </w:pPr>
          <w:r>
            <w:fldChar w:fldCharType="begin"/>
          </w:r>
          <w:r>
            <w:instrText xml:space="preserve"> HYPERLINK \l "bookmark40" </w:instrText>
          </w:r>
          <w:r>
            <w:fldChar w:fldCharType="separate"/>
          </w:r>
          <w:r>
            <w:rPr>
              <w:rFonts w:ascii="Times New Roman" w:hAnsi="Times New Roman" w:eastAsia="Times New Roman" w:cs="Times New Roman"/>
              <w:spacing w:val="-2"/>
              <w:sz w:val="21"/>
              <w:szCs w:val="21"/>
            </w:rPr>
            <w:t>3Settingrange</w:t>
          </w:r>
          <w:r>
            <w:rPr>
              <w:rFonts w:ascii="Times New Roman" w:hAnsi="Times New Roman" w:eastAsia="Times New Roman" w:cs="Times New Roman"/>
              <w:sz w:val="21"/>
              <w:szCs w:val="21"/>
            </w:rPr>
            <w:tab/>
          </w:r>
          <w:r>
            <w:rPr>
              <w:rFonts w:ascii="Times New Roman" w:hAnsi="Times New Roman" w:eastAsia="Times New Roman" w:cs="Times New Roman"/>
              <w:spacing w:val="3"/>
              <w:sz w:val="21"/>
              <w:szCs w:val="21"/>
            </w:rPr>
            <w:t>4</w:t>
          </w:r>
          <w:r>
            <w:rPr>
              <w:rFonts w:ascii="Times New Roman" w:hAnsi="Times New Roman" w:eastAsia="Times New Roman" w:cs="Times New Roman"/>
              <w:spacing w:val="3"/>
              <w:sz w:val="21"/>
              <w:szCs w:val="21"/>
            </w:rPr>
            <w:fldChar w:fldCharType="end"/>
          </w:r>
        </w:p>
        <w:p>
          <w:pPr>
            <w:tabs>
              <w:tab w:val="right" w:leader="dot" w:pos="5870"/>
            </w:tabs>
            <w:spacing w:before="117" w:line="192" w:lineRule="auto"/>
            <w:ind w:left="310"/>
            <w:rPr>
              <w:rFonts w:ascii="Times New Roman" w:hAnsi="Times New Roman" w:eastAsia="Times New Roman" w:cs="Times New Roman"/>
              <w:sz w:val="21"/>
              <w:szCs w:val="21"/>
            </w:rPr>
          </w:pPr>
          <w:r>
            <w:fldChar w:fldCharType="begin"/>
          </w:r>
          <w:r>
            <w:instrText xml:space="preserve"> HYPERLINK \l "bookmark41" </w:instrText>
          </w:r>
          <w:r>
            <w:fldChar w:fldCharType="separate"/>
          </w:r>
          <w:r>
            <w:rPr>
              <w:rFonts w:ascii="Times New Roman" w:hAnsi="Times New Roman" w:eastAsia="Times New Roman" w:cs="Times New Roman"/>
              <w:spacing w:val="-1"/>
              <w:sz w:val="21"/>
              <w:szCs w:val="21"/>
            </w:rPr>
            <w:t>3.1Hydrantwatersupplysystem</w:t>
          </w:r>
          <w:r>
            <w:rPr>
              <w:rFonts w:ascii="Times New Roman" w:hAnsi="Times New Roman" w:eastAsia="Times New Roman" w:cs="Times New Roman"/>
              <w:sz w:val="21"/>
              <w:szCs w:val="21"/>
            </w:rPr>
            <w:tab/>
          </w:r>
          <w:r>
            <w:rPr>
              <w:rFonts w:ascii="Times New Roman" w:hAnsi="Times New Roman" w:eastAsia="Times New Roman" w:cs="Times New Roman"/>
              <w:spacing w:val="-5"/>
              <w:w w:val="95"/>
              <w:sz w:val="21"/>
              <w:szCs w:val="21"/>
            </w:rPr>
            <w:t>4</w:t>
          </w:r>
          <w:r>
            <w:rPr>
              <w:rFonts w:ascii="Times New Roman" w:hAnsi="Times New Roman" w:eastAsia="Times New Roman" w:cs="Times New Roman"/>
              <w:spacing w:val="-5"/>
              <w:w w:val="95"/>
              <w:sz w:val="21"/>
              <w:szCs w:val="21"/>
            </w:rPr>
            <w:fldChar w:fldCharType="end"/>
          </w:r>
        </w:p>
        <w:p>
          <w:pPr>
            <w:tabs>
              <w:tab w:val="right" w:leader="dot" w:pos="5874"/>
            </w:tabs>
            <w:spacing w:before="137" w:line="192" w:lineRule="auto"/>
            <w:ind w:left="310"/>
            <w:rPr>
              <w:rFonts w:ascii="Times New Roman" w:hAnsi="Times New Roman" w:eastAsia="Times New Roman" w:cs="Times New Roman"/>
              <w:sz w:val="21"/>
              <w:szCs w:val="21"/>
            </w:rPr>
          </w:pPr>
          <w:r>
            <w:fldChar w:fldCharType="begin"/>
          </w:r>
          <w:r>
            <w:instrText xml:space="preserve"> HYPERLINK \l "bookmark42" </w:instrText>
          </w:r>
          <w:r>
            <w:fldChar w:fldCharType="separate"/>
          </w:r>
          <w:r>
            <w:rPr>
              <w:rFonts w:ascii="Times New Roman" w:hAnsi="Times New Roman" w:eastAsia="Times New Roman" w:cs="Times New Roman"/>
              <w:spacing w:val="-2"/>
              <w:sz w:val="21"/>
              <w:szCs w:val="21"/>
            </w:rPr>
            <w:t>3.2Sprinklersystem</w:t>
          </w:r>
          <w:r>
            <w:rPr>
              <w:rFonts w:ascii="Times New Roman" w:hAnsi="Times New Roman" w:eastAsia="Times New Roman" w:cs="Times New Roman"/>
              <w:sz w:val="21"/>
              <w:szCs w:val="21"/>
            </w:rPr>
            <w:tab/>
          </w:r>
          <w:r>
            <w:rPr>
              <w:rFonts w:ascii="Times New Roman" w:hAnsi="Times New Roman" w:eastAsia="Times New Roman" w:cs="Times New Roman"/>
              <w:spacing w:val="-17"/>
              <w:sz w:val="21"/>
              <w:szCs w:val="21"/>
            </w:rPr>
            <w:t>5</w:t>
          </w:r>
          <w:r>
            <w:rPr>
              <w:rFonts w:ascii="Times New Roman" w:hAnsi="Times New Roman" w:eastAsia="Times New Roman" w:cs="Times New Roman"/>
              <w:spacing w:val="-17"/>
              <w:sz w:val="21"/>
              <w:szCs w:val="21"/>
            </w:rPr>
            <w:fldChar w:fldCharType="end"/>
          </w:r>
        </w:p>
        <w:p>
          <w:pPr>
            <w:spacing w:before="107" w:line="192" w:lineRule="auto"/>
            <w:ind w:left="320"/>
            <w:rPr>
              <w:rFonts w:ascii="Times New Roman" w:hAnsi="Times New Roman" w:eastAsia="Times New Roman" w:cs="Times New Roman"/>
              <w:sz w:val="21"/>
              <w:szCs w:val="21"/>
            </w:rPr>
          </w:pPr>
          <w:r>
            <w:fldChar w:fldCharType="begin"/>
          </w:r>
          <w:r>
            <w:instrText xml:space="preserve"> HYPERLINK \l "bookmark43" </w:instrText>
          </w:r>
          <w:r>
            <w:fldChar w:fldCharType="separate"/>
          </w:r>
          <w:r>
            <w:rPr>
              <w:rFonts w:ascii="Times New Roman" w:hAnsi="Times New Roman" w:eastAsia="Times New Roman" w:cs="Times New Roman"/>
              <w:sz w:val="21"/>
              <w:szCs w:val="21"/>
            </w:rPr>
            <w:t>3.3Autotrackingandtargetingjetsuppr</w:t>
          </w:r>
          <w:r>
            <w:rPr>
              <w:rFonts w:ascii="Times New Roman" w:hAnsi="Times New Roman" w:eastAsia="Times New Roman" w:cs="Times New Roman"/>
              <w:spacing w:val="-1"/>
              <w:sz w:val="21"/>
              <w:szCs w:val="21"/>
            </w:rPr>
            <w:t>essionsystem</w:t>
          </w:r>
          <w:r>
            <w:rPr>
              <w:rFonts w:ascii="Times New Roman" w:hAnsi="Times New Roman" w:eastAsia="Times New Roman" w:cs="Times New Roman"/>
              <w:spacing w:val="-1"/>
              <w:sz w:val="21"/>
              <w:szCs w:val="21"/>
            </w:rPr>
            <w:fldChar w:fldCharType="end"/>
          </w:r>
        </w:p>
        <w:p>
          <w:pPr>
            <w:tabs>
              <w:tab w:val="right" w:leader="dot" w:pos="5760"/>
            </w:tabs>
            <w:spacing w:before="185" w:line="147" w:lineRule="exact"/>
            <w:ind w:left="930"/>
            <w:rPr>
              <w:rFonts w:ascii="黑体" w:hAnsi="黑体" w:eastAsia="黑体" w:cs="黑体"/>
              <w:sz w:val="11"/>
              <w:szCs w:val="11"/>
            </w:rPr>
          </w:pPr>
          <w:r>
            <w:fldChar w:fldCharType="begin"/>
          </w:r>
          <w:r>
            <w:instrText xml:space="preserve"> HYPERLINK \l "bookmark44" </w:instrText>
          </w:r>
          <w:r>
            <w:fldChar w:fldCharType="separate"/>
          </w:r>
          <w:r>
            <w:rPr>
              <w:rFonts w:ascii="黑体" w:hAnsi="黑体" w:eastAsia="黑体" w:cs="黑体"/>
              <w:sz w:val="11"/>
              <w:szCs w:val="11"/>
            </w:rPr>
            <w:tab/>
          </w:r>
          <w:r>
            <w:rPr>
              <w:rFonts w:ascii="黑体" w:hAnsi="黑体" w:eastAsia="黑体" w:cs="黑体"/>
              <w:spacing w:val="-3"/>
              <w:sz w:val="11"/>
              <w:szCs w:val="11"/>
            </w:rPr>
            <w:t>11</w:t>
          </w:r>
          <w:r>
            <w:rPr>
              <w:rFonts w:ascii="黑体" w:hAnsi="黑体" w:eastAsia="黑体" w:cs="黑体"/>
              <w:spacing w:val="-3"/>
              <w:sz w:val="11"/>
              <w:szCs w:val="11"/>
            </w:rPr>
            <w:fldChar w:fldCharType="end"/>
          </w:r>
        </w:p>
        <w:p>
          <w:pPr>
            <w:spacing w:before="105" w:line="192" w:lineRule="auto"/>
            <w:ind w:left="329"/>
            <w:rPr>
              <w:rFonts w:ascii="Times New Roman" w:hAnsi="Times New Roman" w:eastAsia="Times New Roman" w:cs="Times New Roman"/>
              <w:sz w:val="21"/>
              <w:szCs w:val="21"/>
            </w:rPr>
          </w:pPr>
          <w:r>
            <w:fldChar w:fldCharType="begin"/>
          </w:r>
          <w:r>
            <w:instrText xml:space="preserve"> HYPERLINK \l "bookmark45" </w:instrText>
          </w:r>
          <w:r>
            <w:fldChar w:fldCharType="separate"/>
          </w:r>
          <w:r>
            <w:rPr>
              <w:rFonts w:ascii="Times New Roman" w:hAnsi="Times New Roman" w:eastAsia="Times New Roman" w:cs="Times New Roman"/>
              <w:spacing w:val="-1"/>
              <w:sz w:val="21"/>
              <w:szCs w:val="21"/>
            </w:rPr>
            <w:t>3.4Othersfireextinguishingsystemande</w:t>
          </w:r>
          <w:r>
            <w:rPr>
              <w:rFonts w:ascii="Times New Roman" w:hAnsi="Times New Roman" w:eastAsia="Times New Roman" w:cs="Times New Roman"/>
              <w:spacing w:val="-2"/>
              <w:sz w:val="21"/>
              <w:szCs w:val="21"/>
            </w:rPr>
            <w:t>quipment</w:t>
          </w:r>
          <w:r>
            <w:rPr>
              <w:rFonts w:ascii="Times New Roman" w:hAnsi="Times New Roman" w:eastAsia="Times New Roman" w:cs="Times New Roman"/>
              <w:spacing w:val="-2"/>
              <w:sz w:val="21"/>
              <w:szCs w:val="21"/>
            </w:rPr>
            <w:fldChar w:fldCharType="end"/>
          </w:r>
        </w:p>
        <w:p>
          <w:pPr>
            <w:tabs>
              <w:tab w:val="right" w:leader="dot" w:pos="5760"/>
            </w:tabs>
            <w:spacing w:before="185" w:line="146" w:lineRule="exact"/>
            <w:ind w:left="930"/>
            <w:rPr>
              <w:rFonts w:ascii="黑体" w:hAnsi="黑体" w:eastAsia="黑体" w:cs="黑体"/>
              <w:sz w:val="11"/>
              <w:szCs w:val="11"/>
            </w:rPr>
          </w:pPr>
          <w:r>
            <w:fldChar w:fldCharType="begin"/>
          </w:r>
          <w:r>
            <w:instrText xml:space="preserve"> HYPERLINK \l "bookmark46" </w:instrText>
          </w:r>
          <w:r>
            <w:fldChar w:fldCharType="separate"/>
          </w:r>
          <w:r>
            <w:rPr>
              <w:rFonts w:ascii="黑体" w:hAnsi="黑体" w:eastAsia="黑体" w:cs="黑体"/>
              <w:sz w:val="11"/>
              <w:szCs w:val="11"/>
            </w:rPr>
            <w:tab/>
          </w:r>
          <w:r>
            <w:rPr>
              <w:rFonts w:ascii="黑体" w:hAnsi="黑体" w:eastAsia="黑体" w:cs="黑体"/>
              <w:spacing w:val="-3"/>
              <w:sz w:val="11"/>
              <w:szCs w:val="11"/>
            </w:rPr>
            <w:t>11</w:t>
          </w:r>
          <w:r>
            <w:rPr>
              <w:rFonts w:ascii="黑体" w:hAnsi="黑体" w:eastAsia="黑体" w:cs="黑体"/>
              <w:spacing w:val="-3"/>
              <w:sz w:val="11"/>
              <w:szCs w:val="11"/>
            </w:rPr>
            <w:fldChar w:fldCharType="end"/>
          </w:r>
        </w:p>
        <w:p>
          <w:pPr>
            <w:tabs>
              <w:tab w:val="right" w:leader="dot" w:pos="5855"/>
            </w:tabs>
            <w:spacing w:before="106" w:line="192" w:lineRule="auto"/>
            <w:rPr>
              <w:rFonts w:ascii="Times New Roman" w:hAnsi="Times New Roman" w:eastAsia="Times New Roman" w:cs="Times New Roman"/>
              <w:sz w:val="21"/>
              <w:szCs w:val="21"/>
            </w:rPr>
          </w:pPr>
          <w:r>
            <w:fldChar w:fldCharType="begin"/>
          </w:r>
          <w:r>
            <w:instrText xml:space="preserve"> HYPERLINK \l "bookmark47" </w:instrText>
          </w:r>
          <w:r>
            <w:fldChar w:fldCharType="separate"/>
          </w:r>
          <w:r>
            <w:rPr>
              <w:rFonts w:ascii="Times New Roman" w:hAnsi="Times New Roman" w:eastAsia="Times New Roman" w:cs="Times New Roman"/>
              <w:spacing w:val="-1"/>
              <w:sz w:val="21"/>
              <w:szCs w:val="21"/>
            </w:rPr>
            <w:t>4Firewatersupply</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13</w:t>
          </w:r>
          <w:r>
            <w:rPr>
              <w:rFonts w:ascii="Times New Roman" w:hAnsi="Times New Roman" w:eastAsia="Times New Roman" w:cs="Times New Roman"/>
              <w:spacing w:val="-5"/>
              <w:sz w:val="21"/>
              <w:szCs w:val="21"/>
            </w:rPr>
            <w:fldChar w:fldCharType="end"/>
          </w:r>
        </w:p>
        <w:p>
          <w:pPr>
            <w:tabs>
              <w:tab w:val="right" w:leader="dot" w:pos="5845"/>
            </w:tabs>
            <w:spacing w:before="137" w:line="192" w:lineRule="auto"/>
            <w:ind w:left="310"/>
            <w:rPr>
              <w:rFonts w:ascii="Times New Roman" w:hAnsi="Times New Roman" w:eastAsia="Times New Roman" w:cs="Times New Roman"/>
              <w:sz w:val="21"/>
              <w:szCs w:val="21"/>
            </w:rPr>
          </w:pPr>
          <w:r>
            <w:fldChar w:fldCharType="begin"/>
          </w:r>
          <w:r>
            <w:instrText xml:space="preserve"> HYPERLINK \l "bookmark48" </w:instrText>
          </w:r>
          <w:r>
            <w:fldChar w:fldCharType="separate"/>
          </w:r>
          <w:r>
            <w:rPr>
              <w:rFonts w:ascii="Times New Roman" w:hAnsi="Times New Roman" w:eastAsia="Times New Roman" w:cs="Times New Roman"/>
              <w:sz w:val="21"/>
              <w:szCs w:val="21"/>
            </w:rPr>
            <w:t>4.1Generalrequireme</w:t>
          </w:r>
          <w:r>
            <w:rPr>
              <w:rFonts w:ascii="Times New Roman" w:hAnsi="Times New Roman" w:eastAsia="Times New Roman" w:cs="Times New Roman"/>
              <w:spacing w:val="-1"/>
              <w:sz w:val="21"/>
              <w:szCs w:val="21"/>
            </w:rPr>
            <w:t>nt</w:t>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13</w:t>
          </w:r>
          <w:r>
            <w:rPr>
              <w:rFonts w:ascii="Times New Roman" w:hAnsi="Times New Roman" w:eastAsia="Times New Roman" w:cs="Times New Roman"/>
              <w:spacing w:val="-1"/>
              <w:sz w:val="21"/>
              <w:szCs w:val="21"/>
            </w:rPr>
            <w:fldChar w:fldCharType="end"/>
          </w:r>
        </w:p>
        <w:p>
          <w:pPr>
            <w:tabs>
              <w:tab w:val="right" w:leader="dot" w:pos="5845"/>
            </w:tabs>
            <w:spacing w:before="129" w:line="192" w:lineRule="auto"/>
            <w:ind w:left="310"/>
            <w:rPr>
              <w:rFonts w:ascii="Times New Roman" w:hAnsi="Times New Roman" w:eastAsia="Times New Roman" w:cs="Times New Roman"/>
              <w:sz w:val="21"/>
              <w:szCs w:val="21"/>
            </w:rPr>
          </w:pPr>
          <w:r>
            <w:fldChar w:fldCharType="begin"/>
          </w:r>
          <w:r>
            <w:instrText xml:space="preserve"> HYPERLINK \l "bookmark49" </w:instrText>
          </w:r>
          <w:r>
            <w:fldChar w:fldCharType="separate"/>
          </w:r>
          <w:r>
            <w:rPr>
              <w:rFonts w:ascii="Times New Roman" w:hAnsi="Times New Roman" w:eastAsia="Times New Roman" w:cs="Times New Roman"/>
              <w:sz w:val="21"/>
              <w:szCs w:val="21"/>
            </w:rPr>
            <w:t>4.2Firewater</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13</w:t>
          </w:r>
          <w:r>
            <w:rPr>
              <w:rFonts w:ascii="Times New Roman" w:hAnsi="Times New Roman" w:eastAsia="Times New Roman" w:cs="Times New Roman"/>
              <w:spacing w:val="-5"/>
              <w:sz w:val="21"/>
              <w:szCs w:val="21"/>
            </w:rPr>
            <w:fldChar w:fldCharType="end"/>
          </w:r>
        </w:p>
        <w:p>
          <w:pPr>
            <w:tabs>
              <w:tab w:val="right" w:leader="dot" w:pos="5855"/>
            </w:tabs>
            <w:spacing w:before="94" w:line="192" w:lineRule="auto"/>
            <w:ind w:left="310"/>
            <w:rPr>
              <w:rFonts w:ascii="Times New Roman" w:hAnsi="Times New Roman" w:eastAsia="Times New Roman" w:cs="Times New Roman"/>
              <w:sz w:val="21"/>
              <w:szCs w:val="21"/>
            </w:rPr>
          </w:pPr>
          <w:r>
            <w:fldChar w:fldCharType="begin"/>
          </w:r>
          <w:r>
            <w:instrText xml:space="preserve"> HYPERLINK \l "bookmark50" </w:instrText>
          </w:r>
          <w:r>
            <w:fldChar w:fldCharType="separate"/>
          </w:r>
          <w:r>
            <w:rPr>
              <w:rFonts w:ascii="Times New Roman" w:hAnsi="Times New Roman" w:eastAsia="Times New Roman" w:cs="Times New Roman"/>
              <w:sz w:val="21"/>
              <w:szCs w:val="21"/>
            </w:rPr>
            <w:t>4.3Fireprotectionwaterdemand</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15</w:t>
          </w:r>
          <w:r>
            <w:rPr>
              <w:rFonts w:ascii="Times New Roman" w:hAnsi="Times New Roman" w:eastAsia="Times New Roman" w:cs="Times New Roman"/>
              <w:spacing w:val="-5"/>
              <w:sz w:val="21"/>
              <w:szCs w:val="21"/>
            </w:rPr>
            <w:fldChar w:fldCharType="end"/>
          </w:r>
        </w:p>
        <w:p>
          <w:pPr>
            <w:tabs>
              <w:tab w:val="right" w:leader="dot" w:pos="5845"/>
            </w:tabs>
            <w:spacing w:before="127" w:line="192" w:lineRule="auto"/>
            <w:ind w:left="310"/>
            <w:rPr>
              <w:rFonts w:ascii="Times New Roman" w:hAnsi="Times New Roman" w:eastAsia="Times New Roman" w:cs="Times New Roman"/>
              <w:sz w:val="21"/>
              <w:szCs w:val="21"/>
            </w:rPr>
          </w:pPr>
          <w:r>
            <w:fldChar w:fldCharType="begin"/>
          </w:r>
          <w:r>
            <w:instrText xml:space="preserve"> HYPERLINK \l "bookmark51" </w:instrText>
          </w:r>
          <w:r>
            <w:fldChar w:fldCharType="separate"/>
          </w:r>
          <w:r>
            <w:rPr>
              <w:rFonts w:ascii="Times New Roman" w:hAnsi="Times New Roman" w:eastAsia="Times New Roman" w:cs="Times New Roman"/>
              <w:spacing w:val="-1"/>
              <w:sz w:val="21"/>
              <w:szCs w:val="21"/>
            </w:rPr>
            <w:t>4.4Systemform</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16</w:t>
          </w:r>
          <w:r>
            <w:rPr>
              <w:rFonts w:ascii="Times New Roman" w:hAnsi="Times New Roman" w:eastAsia="Times New Roman" w:cs="Times New Roman"/>
              <w:spacing w:val="-5"/>
              <w:sz w:val="21"/>
              <w:szCs w:val="21"/>
            </w:rPr>
            <w:fldChar w:fldCharType="end"/>
          </w:r>
        </w:p>
        <w:p>
          <w:pPr>
            <w:tabs>
              <w:tab w:val="right" w:leader="dot" w:pos="5845"/>
            </w:tabs>
            <w:spacing w:before="117" w:line="192" w:lineRule="auto"/>
            <w:rPr>
              <w:rFonts w:ascii="Times New Roman" w:hAnsi="Times New Roman" w:eastAsia="Times New Roman" w:cs="Times New Roman"/>
              <w:sz w:val="21"/>
              <w:szCs w:val="21"/>
            </w:rPr>
          </w:pPr>
          <w:r>
            <w:fldChar w:fldCharType="begin"/>
          </w:r>
          <w:r>
            <w:instrText xml:space="preserve"> HYPERLINK \l "bookmark52" </w:instrText>
          </w:r>
          <w:r>
            <w:fldChar w:fldCharType="separate"/>
          </w:r>
          <w:r>
            <w:rPr>
              <w:rFonts w:ascii="Times New Roman" w:hAnsi="Times New Roman" w:eastAsia="Times New Roman" w:cs="Times New Roman"/>
              <w:spacing w:val="-2"/>
              <w:sz w:val="21"/>
              <w:szCs w:val="21"/>
            </w:rPr>
            <w:t>5Hydrantsystem</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55"/>
            </w:tabs>
            <w:spacing w:before="127" w:line="192" w:lineRule="auto"/>
            <w:ind w:left="310"/>
            <w:rPr>
              <w:rFonts w:ascii="Times New Roman" w:hAnsi="Times New Roman" w:eastAsia="Times New Roman" w:cs="Times New Roman"/>
              <w:sz w:val="21"/>
              <w:szCs w:val="21"/>
            </w:rPr>
          </w:pPr>
          <w:r>
            <w:fldChar w:fldCharType="begin"/>
          </w:r>
          <w:r>
            <w:instrText xml:space="preserve"> HYPERLINK \l "bookmark53" </w:instrText>
          </w:r>
          <w:r>
            <w:fldChar w:fldCharType="separate"/>
          </w:r>
          <w:r>
            <w:rPr>
              <w:rFonts w:ascii="Times New Roman" w:hAnsi="Times New Roman" w:eastAsia="Times New Roman" w:cs="Times New Roman"/>
              <w:spacing w:val="-1"/>
              <w:sz w:val="21"/>
              <w:szCs w:val="21"/>
            </w:rPr>
            <w:t>5.1Generalrequirement</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45"/>
            </w:tabs>
            <w:spacing w:before="116" w:line="192" w:lineRule="auto"/>
            <w:ind w:left="310"/>
            <w:rPr>
              <w:rFonts w:ascii="Times New Roman" w:hAnsi="Times New Roman" w:eastAsia="Times New Roman" w:cs="Times New Roman"/>
              <w:sz w:val="21"/>
              <w:szCs w:val="21"/>
            </w:rPr>
          </w:pPr>
          <w:r>
            <w:fldChar w:fldCharType="begin"/>
          </w:r>
          <w:r>
            <w:instrText xml:space="preserve"> HYPERLINK \l "bookmark54" </w:instrText>
          </w:r>
          <w:r>
            <w:fldChar w:fldCharType="separate"/>
          </w:r>
          <w:r>
            <w:rPr>
              <w:rFonts w:ascii="Times New Roman" w:hAnsi="Times New Roman" w:eastAsia="Times New Roman" w:cs="Times New Roman"/>
              <w:spacing w:val="-1"/>
              <w:sz w:val="21"/>
              <w:szCs w:val="21"/>
            </w:rPr>
            <w:t>5.2Hydrantwaterdemand</w:t>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19</w:t>
          </w:r>
          <w:r>
            <w:rPr>
              <w:rFonts w:ascii="Times New Roman" w:hAnsi="Times New Roman" w:eastAsia="Times New Roman" w:cs="Times New Roman"/>
              <w:spacing w:val="-5"/>
              <w:sz w:val="21"/>
              <w:szCs w:val="21"/>
            </w:rPr>
            <w:fldChar w:fldCharType="end"/>
          </w:r>
        </w:p>
        <w:p>
          <w:pPr>
            <w:tabs>
              <w:tab w:val="right" w:leader="dot" w:pos="5865"/>
            </w:tabs>
            <w:spacing w:before="127" w:line="192" w:lineRule="auto"/>
            <w:ind w:left="310"/>
            <w:rPr>
              <w:rFonts w:ascii="Times New Roman" w:hAnsi="Times New Roman" w:eastAsia="Times New Roman" w:cs="Times New Roman"/>
              <w:sz w:val="21"/>
              <w:szCs w:val="21"/>
            </w:rPr>
          </w:pPr>
          <w:r>
            <w:fldChar w:fldCharType="begin"/>
          </w:r>
          <w:r>
            <w:instrText xml:space="preserve"> HYPERLINK \l "bookmark55" </w:instrText>
          </w:r>
          <w:r>
            <w:fldChar w:fldCharType="separate"/>
          </w:r>
          <w:r>
            <w:rPr>
              <w:rFonts w:ascii="Times New Roman" w:hAnsi="Times New Roman" w:eastAsia="Times New Roman" w:cs="Times New Roman"/>
              <w:spacing w:val="-1"/>
              <w:sz w:val="21"/>
              <w:szCs w:val="21"/>
            </w:rPr>
            <w:t>5.3Outdoorhydrantsy</w:t>
          </w:r>
          <w:r>
            <w:rPr>
              <w:rFonts w:ascii="Times New Roman" w:hAnsi="Times New Roman" w:eastAsia="Times New Roman" w:cs="Times New Roman"/>
              <w:spacing w:val="-2"/>
              <w:sz w:val="21"/>
              <w:szCs w:val="21"/>
            </w:rPr>
            <w:t>stem</w:t>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pPr>
            <w:tabs>
              <w:tab w:val="right" w:leader="dot" w:pos="5875"/>
            </w:tabs>
            <w:spacing w:before="117" w:line="192" w:lineRule="auto"/>
            <w:ind w:left="310"/>
            <w:rPr>
              <w:rFonts w:ascii="Times New Roman" w:hAnsi="Times New Roman" w:eastAsia="Times New Roman" w:cs="Times New Roman"/>
              <w:sz w:val="21"/>
              <w:szCs w:val="21"/>
            </w:rPr>
          </w:pPr>
          <w:r>
            <w:fldChar w:fldCharType="begin"/>
          </w:r>
          <w:r>
            <w:instrText xml:space="preserve"> HYPERLINK \l "bookmark56" </w:instrText>
          </w:r>
          <w:r>
            <w:fldChar w:fldCharType="separate"/>
          </w:r>
          <w:r>
            <w:rPr>
              <w:rFonts w:ascii="Times New Roman" w:hAnsi="Times New Roman" w:eastAsia="Times New Roman" w:cs="Times New Roman"/>
              <w:spacing w:val="-1"/>
              <w:sz w:val="21"/>
              <w:szCs w:val="21"/>
            </w:rPr>
            <w:t>5.4Indoorhydrantsystem</w:t>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
              <w:sz w:val="21"/>
              <w:szCs w:val="21"/>
            </w:rPr>
            <w:fldChar w:fldCharType="end"/>
          </w:r>
        </w:p>
        <w:p>
          <w:pPr>
            <w:tabs>
              <w:tab w:val="right" w:leader="dot" w:pos="5855"/>
            </w:tabs>
            <w:spacing w:before="137" w:line="192" w:lineRule="auto"/>
            <w:ind w:left="310"/>
            <w:rPr>
              <w:rFonts w:ascii="Times New Roman" w:hAnsi="Times New Roman" w:eastAsia="Times New Roman" w:cs="Times New Roman"/>
              <w:sz w:val="21"/>
              <w:szCs w:val="21"/>
            </w:rPr>
          </w:pPr>
          <w:r>
            <w:fldChar w:fldCharType="begin"/>
          </w:r>
          <w:r>
            <w:instrText xml:space="preserve"> HYPERLINK \l "bookmark57" </w:instrText>
          </w:r>
          <w:r>
            <w:fldChar w:fldCharType="separate"/>
          </w:r>
          <w:r>
            <w:rPr>
              <w:rFonts w:ascii="Times New Roman" w:hAnsi="Times New Roman" w:eastAsia="Times New Roman" w:cs="Times New Roman"/>
              <w:spacing w:val="-1"/>
              <w:sz w:val="21"/>
              <w:szCs w:val="21"/>
            </w:rPr>
            <w:t>5.5Compressedairfoamhydrantsystem</w:t>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26</w:t>
          </w:r>
          <w:r>
            <w:rPr>
              <w:rFonts w:ascii="Times New Roman" w:hAnsi="Times New Roman" w:eastAsia="Times New Roman" w:cs="Times New Roman"/>
              <w:spacing w:val="1"/>
              <w:sz w:val="21"/>
              <w:szCs w:val="21"/>
            </w:rPr>
            <w:fldChar w:fldCharType="end"/>
          </w:r>
        </w:p>
        <w:p>
          <w:pPr>
            <w:tabs>
              <w:tab w:val="right" w:leader="dot" w:pos="5855"/>
            </w:tabs>
            <w:spacing w:before="107" w:line="192" w:lineRule="auto"/>
            <w:ind w:left="310"/>
            <w:rPr>
              <w:rFonts w:ascii="Times New Roman" w:hAnsi="Times New Roman" w:eastAsia="Times New Roman" w:cs="Times New Roman"/>
              <w:sz w:val="21"/>
              <w:szCs w:val="21"/>
            </w:rPr>
          </w:pPr>
          <w:r>
            <w:fldChar w:fldCharType="begin"/>
          </w:r>
          <w:r>
            <w:instrText xml:space="preserve"> HYPERLINK \l "bookmark58" </w:instrText>
          </w:r>
          <w:r>
            <w:fldChar w:fldCharType="separate"/>
          </w:r>
          <w:r>
            <w:rPr>
              <w:rFonts w:ascii="Times New Roman" w:hAnsi="Times New Roman" w:eastAsia="Times New Roman" w:cs="Times New Roman"/>
              <w:spacing w:val="-1"/>
              <w:sz w:val="21"/>
              <w:szCs w:val="21"/>
            </w:rPr>
            <w:t>5.6Controlandoperat</w:t>
          </w:r>
          <w:r>
            <w:rPr>
              <w:rFonts w:ascii="Times New Roman" w:hAnsi="Times New Roman" w:eastAsia="Times New Roman" w:cs="Times New Roman"/>
              <w:spacing w:val="-2"/>
              <w:sz w:val="21"/>
              <w:szCs w:val="21"/>
            </w:rPr>
            <w:t>ion</w:t>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26</w:t>
          </w:r>
          <w:r>
            <w:rPr>
              <w:rFonts w:ascii="Times New Roman" w:hAnsi="Times New Roman" w:eastAsia="Times New Roman" w:cs="Times New Roman"/>
              <w:spacing w:val="1"/>
              <w:sz w:val="21"/>
              <w:szCs w:val="21"/>
            </w:rPr>
            <w:fldChar w:fldCharType="end"/>
          </w:r>
        </w:p>
      </w:sdtContent>
    </w:sdt>
    <w:p>
      <w:pPr>
        <w:spacing w:line="192" w:lineRule="auto"/>
        <w:rPr>
          <w:rFonts w:ascii="Times New Roman" w:hAnsi="Times New Roman" w:eastAsia="Times New Roman" w:cs="Times New Roman"/>
          <w:sz w:val="21"/>
          <w:szCs w:val="21"/>
        </w:rPr>
        <w:sectPr>
          <w:footerReference r:id="rId11" w:type="default"/>
          <w:pgSz w:w="8280" w:h="11850"/>
          <w:pgMar w:top="1007" w:right="1214" w:bottom="1366" w:left="1190" w:header="0" w:footer="1176" w:gutter="0"/>
          <w:cols w:space="720" w:num="1"/>
        </w:sectPr>
      </w:pPr>
    </w:p>
    <w:sdt>
      <w:sdtPr>
        <w:rPr>
          <w:rFonts w:ascii="Arial" w:hAnsi="Arial" w:eastAsia="Arial" w:cs="Arial"/>
          <w:sz w:val="21"/>
          <w:szCs w:val="21"/>
        </w:rPr>
        <w:id w:val="4"/>
        <w:docPartObj>
          <w:docPartGallery w:val="Table of Contents"/>
          <w:docPartUnique/>
        </w:docPartObj>
      </w:sdtPr>
      <w:sdtEndPr>
        <w:rPr>
          <w:rFonts w:ascii="Times New Roman" w:hAnsi="Times New Roman" w:eastAsia="Times New Roman" w:cs="Times New Roman"/>
          <w:sz w:val="19"/>
          <w:szCs w:val="19"/>
        </w:rPr>
      </w:sdtEndPr>
      <w:sdtContent>
        <w:p>
          <w:pPr>
            <w:tabs>
              <w:tab w:val="right" w:leader="dot" w:pos="5815"/>
            </w:tabs>
            <w:spacing w:before="278" w:line="192" w:lineRule="auto"/>
            <w:rPr>
              <w:rFonts w:ascii="Times New Roman" w:hAnsi="Times New Roman" w:eastAsia="Times New Roman" w:cs="Times New Roman"/>
              <w:sz w:val="19"/>
              <w:szCs w:val="19"/>
            </w:rPr>
          </w:pPr>
          <w:r>
            <w:fldChar w:fldCharType="begin"/>
          </w:r>
          <w:r>
            <w:instrText xml:space="preserve"> HYPERLINK \l "bookmark59" </w:instrText>
          </w:r>
          <w:r>
            <w:fldChar w:fldCharType="separate"/>
          </w:r>
          <w:r>
            <w:rPr>
              <w:rFonts w:ascii="Times New Roman" w:hAnsi="Times New Roman" w:eastAsia="Times New Roman" w:cs="Times New Roman"/>
              <w:spacing w:val="-2"/>
              <w:sz w:val="19"/>
              <w:szCs w:val="19"/>
            </w:rPr>
            <w:t>6Sprinklersystem</w:t>
          </w:r>
          <w:r>
            <w:rPr>
              <w:rFonts w:ascii="Times New Roman" w:hAnsi="Times New Roman" w:eastAsia="Times New Roman" w:cs="Times New Roman"/>
              <w:sz w:val="19"/>
              <w:szCs w:val="19"/>
            </w:rPr>
            <w:tab/>
          </w:r>
          <w:r>
            <w:rPr>
              <w:rFonts w:ascii="Times New Roman" w:hAnsi="Times New Roman" w:eastAsia="Times New Roman" w:cs="Times New Roman"/>
              <w:spacing w:val="2"/>
              <w:sz w:val="19"/>
              <w:szCs w:val="19"/>
            </w:rPr>
            <w:t>29</w:t>
          </w:r>
          <w:r>
            <w:rPr>
              <w:rFonts w:ascii="Times New Roman" w:hAnsi="Times New Roman" w:eastAsia="Times New Roman" w:cs="Times New Roman"/>
              <w:spacing w:val="2"/>
              <w:sz w:val="19"/>
              <w:szCs w:val="19"/>
            </w:rPr>
            <w:fldChar w:fldCharType="end"/>
          </w:r>
        </w:p>
        <w:p>
          <w:pPr>
            <w:tabs>
              <w:tab w:val="right" w:leader="dot" w:pos="5825"/>
            </w:tabs>
            <w:spacing w:before="135" w:line="192" w:lineRule="auto"/>
            <w:ind w:left="310"/>
            <w:rPr>
              <w:rFonts w:ascii="Times New Roman" w:hAnsi="Times New Roman" w:eastAsia="Times New Roman" w:cs="Times New Roman"/>
              <w:sz w:val="19"/>
              <w:szCs w:val="19"/>
            </w:rPr>
          </w:pPr>
          <w:r>
            <w:fldChar w:fldCharType="begin"/>
          </w:r>
          <w:r>
            <w:instrText xml:space="preserve"> HYPERLINK \l "bookmark60" </w:instrText>
          </w:r>
          <w:r>
            <w:fldChar w:fldCharType="separate"/>
          </w:r>
          <w:r>
            <w:rPr>
              <w:rFonts w:ascii="Times New Roman" w:hAnsi="Times New Roman" w:eastAsia="Times New Roman" w:cs="Times New Roman"/>
              <w:spacing w:val="-1"/>
              <w:sz w:val="19"/>
              <w:szCs w:val="19"/>
            </w:rPr>
            <w:t>6.1Generalrequirement</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29</w:t>
          </w:r>
          <w:r>
            <w:rPr>
              <w:rFonts w:ascii="Times New Roman" w:hAnsi="Times New Roman" w:eastAsia="Times New Roman" w:cs="Times New Roman"/>
              <w:spacing w:val="-3"/>
              <w:sz w:val="19"/>
              <w:szCs w:val="19"/>
            </w:rPr>
            <w:fldChar w:fldCharType="end"/>
          </w:r>
        </w:p>
        <w:p>
          <w:pPr>
            <w:tabs>
              <w:tab w:val="right" w:leader="dot" w:pos="5812"/>
            </w:tabs>
            <w:spacing w:before="144" w:line="192" w:lineRule="auto"/>
            <w:ind w:left="310"/>
            <w:rPr>
              <w:rFonts w:ascii="Times New Roman" w:hAnsi="Times New Roman" w:eastAsia="Times New Roman" w:cs="Times New Roman"/>
              <w:sz w:val="19"/>
              <w:szCs w:val="19"/>
            </w:rPr>
          </w:pPr>
          <w:r>
            <w:fldChar w:fldCharType="begin"/>
          </w:r>
          <w:r>
            <w:instrText xml:space="preserve"> HYPERLINK \l "bookmark61" </w:instrText>
          </w:r>
          <w:r>
            <w:fldChar w:fldCharType="separate"/>
          </w:r>
          <w:r>
            <w:rPr>
              <w:rFonts w:ascii="Times New Roman" w:hAnsi="Times New Roman" w:eastAsia="Times New Roman" w:cs="Times New Roman"/>
              <w:sz w:val="19"/>
              <w:szCs w:val="19"/>
            </w:rPr>
            <w:t>6.2Requirements</w:t>
          </w:r>
          <w:r>
            <w:rPr>
              <w:rFonts w:ascii="Times New Roman" w:hAnsi="Times New Roman" w:eastAsia="Times New Roman" w:cs="Times New Roman"/>
              <w:spacing w:val="-1"/>
              <w:sz w:val="19"/>
              <w:szCs w:val="19"/>
            </w:rPr>
            <w:t>tosetting</w:t>
          </w:r>
          <w:r>
            <w:rPr>
              <w:rFonts w:ascii="Times New Roman" w:hAnsi="Times New Roman" w:eastAsia="Times New Roman" w:cs="Times New Roman"/>
              <w:sz w:val="19"/>
              <w:szCs w:val="19"/>
            </w:rPr>
            <w:tab/>
          </w:r>
          <w:r>
            <w:rPr>
              <w:rFonts w:ascii="Times New Roman" w:hAnsi="Times New Roman" w:eastAsia="Times New Roman" w:cs="Times New Roman"/>
              <w:sz w:val="19"/>
              <w:szCs w:val="19"/>
            </w:rPr>
            <w:t>33</w:t>
          </w:r>
          <w:r>
            <w:rPr>
              <w:rFonts w:ascii="Times New Roman" w:hAnsi="Times New Roman" w:eastAsia="Times New Roman" w:cs="Times New Roman"/>
              <w:sz w:val="19"/>
              <w:szCs w:val="19"/>
            </w:rPr>
            <w:fldChar w:fldCharType="end"/>
          </w:r>
        </w:p>
        <w:p>
          <w:pPr>
            <w:tabs>
              <w:tab w:val="right" w:leader="dot" w:pos="5812"/>
            </w:tabs>
            <w:spacing w:before="135" w:line="192" w:lineRule="auto"/>
            <w:ind w:left="310"/>
            <w:rPr>
              <w:rFonts w:ascii="Times New Roman" w:hAnsi="Times New Roman" w:eastAsia="Times New Roman" w:cs="Times New Roman"/>
              <w:sz w:val="19"/>
              <w:szCs w:val="19"/>
            </w:rPr>
          </w:pPr>
          <w:r>
            <w:fldChar w:fldCharType="begin"/>
          </w:r>
          <w:r>
            <w:instrText xml:space="preserve"> HYPERLINK \l "bookmark62" </w:instrText>
          </w:r>
          <w:r>
            <w:fldChar w:fldCharType="separate"/>
          </w:r>
          <w:r>
            <w:rPr>
              <w:rFonts w:ascii="Times New Roman" w:hAnsi="Times New Roman" w:eastAsia="Times New Roman" w:cs="Times New Roman"/>
              <w:spacing w:val="-1"/>
              <w:sz w:val="19"/>
              <w:szCs w:val="19"/>
            </w:rPr>
            <w:t>6.3Simplesprinklers</w:t>
          </w:r>
          <w:r>
            <w:rPr>
              <w:rFonts w:ascii="Times New Roman" w:hAnsi="Times New Roman" w:eastAsia="Times New Roman" w:cs="Times New Roman"/>
              <w:spacing w:val="-2"/>
              <w:sz w:val="19"/>
              <w:szCs w:val="19"/>
            </w:rPr>
            <w:t>ystem</w:t>
          </w:r>
          <w:r>
            <w:rPr>
              <w:rFonts w:ascii="Times New Roman" w:hAnsi="Times New Roman" w:eastAsia="Times New Roman" w:cs="Times New Roman"/>
              <w:sz w:val="19"/>
              <w:szCs w:val="19"/>
            </w:rPr>
            <w:tab/>
          </w:r>
          <w:r>
            <w:rPr>
              <w:rFonts w:ascii="Times New Roman" w:hAnsi="Times New Roman" w:eastAsia="Times New Roman" w:cs="Times New Roman"/>
              <w:spacing w:val="2"/>
              <w:sz w:val="19"/>
              <w:szCs w:val="19"/>
            </w:rPr>
            <w:t>34</w:t>
          </w:r>
          <w:r>
            <w:rPr>
              <w:rFonts w:ascii="Times New Roman" w:hAnsi="Times New Roman" w:eastAsia="Times New Roman" w:cs="Times New Roman"/>
              <w:spacing w:val="2"/>
              <w:sz w:val="19"/>
              <w:szCs w:val="19"/>
            </w:rPr>
            <w:fldChar w:fldCharType="end"/>
          </w:r>
        </w:p>
        <w:p>
          <w:pPr>
            <w:tabs>
              <w:tab w:val="right" w:leader="dot" w:pos="5812"/>
            </w:tabs>
            <w:spacing w:before="155" w:line="192" w:lineRule="auto"/>
            <w:ind w:left="310"/>
            <w:rPr>
              <w:rFonts w:ascii="Times New Roman" w:hAnsi="Times New Roman" w:eastAsia="Times New Roman" w:cs="Times New Roman"/>
              <w:sz w:val="19"/>
              <w:szCs w:val="19"/>
            </w:rPr>
          </w:pPr>
          <w:r>
            <w:fldChar w:fldCharType="begin"/>
          </w:r>
          <w:r>
            <w:instrText xml:space="preserve"> HYPERLINK \l "bookmark63" </w:instrText>
          </w:r>
          <w:r>
            <w:fldChar w:fldCharType="separate"/>
          </w:r>
          <w:r>
            <w:rPr>
              <w:rFonts w:ascii="Times New Roman" w:hAnsi="Times New Roman" w:eastAsia="Times New Roman" w:cs="Times New Roman"/>
              <w:spacing w:val="-1"/>
              <w:sz w:val="19"/>
              <w:szCs w:val="19"/>
            </w:rPr>
            <w:t>6.4Controlandoperation</w:t>
          </w:r>
          <w:r>
            <w:rPr>
              <w:rFonts w:ascii="Times New Roman" w:hAnsi="Times New Roman" w:eastAsia="Times New Roman" w:cs="Times New Roman"/>
              <w:sz w:val="19"/>
              <w:szCs w:val="19"/>
            </w:rPr>
            <w:tab/>
          </w:r>
          <w:r>
            <w:rPr>
              <w:rFonts w:ascii="Times New Roman" w:hAnsi="Times New Roman" w:eastAsia="Times New Roman" w:cs="Times New Roman"/>
              <w:spacing w:val="7"/>
              <w:sz w:val="19"/>
              <w:szCs w:val="19"/>
            </w:rPr>
            <w:t>36</w:t>
          </w:r>
          <w:r>
            <w:rPr>
              <w:rFonts w:ascii="Times New Roman" w:hAnsi="Times New Roman" w:eastAsia="Times New Roman" w:cs="Times New Roman"/>
              <w:spacing w:val="7"/>
              <w:sz w:val="19"/>
              <w:szCs w:val="19"/>
            </w:rPr>
            <w:fldChar w:fldCharType="end"/>
          </w:r>
        </w:p>
        <w:p>
          <w:pPr>
            <w:tabs>
              <w:tab w:val="right" w:leader="dot" w:pos="5812"/>
            </w:tabs>
            <w:spacing w:before="125" w:line="192" w:lineRule="auto"/>
            <w:rPr>
              <w:rFonts w:ascii="Times New Roman" w:hAnsi="Times New Roman" w:eastAsia="Times New Roman" w:cs="Times New Roman"/>
              <w:sz w:val="19"/>
              <w:szCs w:val="19"/>
            </w:rPr>
          </w:pPr>
          <w:r>
            <w:fldChar w:fldCharType="begin"/>
          </w:r>
          <w:r>
            <w:instrText xml:space="preserve"> HYPERLINK \l "bookmark64" </w:instrText>
          </w:r>
          <w:r>
            <w:fldChar w:fldCharType="separate"/>
          </w:r>
          <w:r>
            <w:rPr>
              <w:rFonts w:ascii="Times New Roman" w:hAnsi="Times New Roman" w:eastAsia="Times New Roman" w:cs="Times New Roman"/>
              <w:sz w:val="19"/>
              <w:szCs w:val="19"/>
            </w:rPr>
            <w:t>7Autotrackingandtargetingjetsuppression</w:t>
          </w:r>
          <w:r>
            <w:rPr>
              <w:rFonts w:ascii="Times New Roman" w:hAnsi="Times New Roman" w:eastAsia="Times New Roman" w:cs="Times New Roman"/>
              <w:spacing w:val="-1"/>
              <w:sz w:val="19"/>
              <w:szCs w:val="19"/>
            </w:rPr>
            <w:t>system</w:t>
          </w:r>
          <w:r>
            <w:rPr>
              <w:rFonts w:ascii="Times New Roman" w:hAnsi="Times New Roman" w:eastAsia="Times New Roman" w:cs="Times New Roman"/>
              <w:sz w:val="19"/>
              <w:szCs w:val="19"/>
            </w:rPr>
            <w:tab/>
          </w:r>
          <w:r>
            <w:rPr>
              <w:rFonts w:ascii="Times New Roman" w:hAnsi="Times New Roman" w:eastAsia="Times New Roman" w:cs="Times New Roman"/>
              <w:spacing w:val="2"/>
              <w:sz w:val="19"/>
              <w:szCs w:val="19"/>
            </w:rPr>
            <w:t>37</w:t>
          </w:r>
          <w:r>
            <w:rPr>
              <w:rFonts w:ascii="Times New Roman" w:hAnsi="Times New Roman" w:eastAsia="Times New Roman" w:cs="Times New Roman"/>
              <w:spacing w:val="2"/>
              <w:sz w:val="19"/>
              <w:szCs w:val="19"/>
            </w:rPr>
            <w:fldChar w:fldCharType="end"/>
          </w:r>
        </w:p>
        <w:p>
          <w:pPr>
            <w:tabs>
              <w:tab w:val="right" w:leader="dot" w:pos="5815"/>
            </w:tabs>
            <w:spacing w:before="155" w:line="192" w:lineRule="auto"/>
            <w:rPr>
              <w:rFonts w:ascii="Times New Roman" w:hAnsi="Times New Roman" w:eastAsia="Times New Roman" w:cs="Times New Roman"/>
              <w:sz w:val="19"/>
              <w:szCs w:val="19"/>
            </w:rPr>
          </w:pPr>
          <w:r>
            <w:fldChar w:fldCharType="begin"/>
          </w:r>
          <w:r>
            <w:instrText xml:space="preserve"> HYPERLINK \l "bookmark65" </w:instrText>
          </w:r>
          <w:r>
            <w:fldChar w:fldCharType="separate"/>
          </w:r>
          <w:r>
            <w:rPr>
              <w:rFonts w:ascii="Times New Roman" w:hAnsi="Times New Roman" w:eastAsia="Times New Roman" w:cs="Times New Roman"/>
              <w:spacing w:val="-1"/>
              <w:sz w:val="19"/>
              <w:szCs w:val="19"/>
            </w:rPr>
            <w:t>8Othersfireextinguishingsystemandequipment</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40</w:t>
          </w:r>
          <w:r>
            <w:rPr>
              <w:rFonts w:ascii="Times New Roman" w:hAnsi="Times New Roman" w:eastAsia="Times New Roman" w:cs="Times New Roman"/>
              <w:spacing w:val="3"/>
              <w:sz w:val="19"/>
              <w:szCs w:val="19"/>
            </w:rPr>
            <w:fldChar w:fldCharType="end"/>
          </w:r>
        </w:p>
        <w:p>
          <w:pPr>
            <w:tabs>
              <w:tab w:val="right" w:leader="dot" w:pos="5815"/>
            </w:tabs>
            <w:spacing w:before="125" w:line="192" w:lineRule="auto"/>
            <w:ind w:left="310"/>
            <w:rPr>
              <w:rFonts w:ascii="Times New Roman" w:hAnsi="Times New Roman" w:eastAsia="Times New Roman" w:cs="Times New Roman"/>
              <w:sz w:val="19"/>
              <w:szCs w:val="19"/>
            </w:rPr>
          </w:pPr>
          <w:r>
            <w:fldChar w:fldCharType="begin"/>
          </w:r>
          <w:r>
            <w:instrText xml:space="preserve"> HYPERLINK \l "bookmark66" </w:instrText>
          </w:r>
          <w:r>
            <w:fldChar w:fldCharType="separate"/>
          </w:r>
          <w:r>
            <w:rPr>
              <w:rFonts w:ascii="Times New Roman" w:hAnsi="Times New Roman" w:eastAsia="Times New Roman" w:cs="Times New Roman"/>
              <w:sz w:val="19"/>
              <w:szCs w:val="19"/>
            </w:rPr>
            <w:t>8.1Nitrogenfireextinguis</w:t>
          </w:r>
          <w:r>
            <w:rPr>
              <w:rFonts w:ascii="Times New Roman" w:hAnsi="Times New Roman" w:eastAsia="Times New Roman" w:cs="Times New Roman"/>
              <w:spacing w:val="-1"/>
              <w:sz w:val="19"/>
              <w:szCs w:val="19"/>
            </w:rPr>
            <w:t>hingsystem</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40</w:t>
          </w:r>
          <w:r>
            <w:rPr>
              <w:rFonts w:ascii="Times New Roman" w:hAnsi="Times New Roman" w:eastAsia="Times New Roman" w:cs="Times New Roman"/>
              <w:spacing w:val="3"/>
              <w:sz w:val="19"/>
              <w:szCs w:val="19"/>
            </w:rPr>
            <w:fldChar w:fldCharType="end"/>
          </w:r>
        </w:p>
        <w:p>
          <w:pPr>
            <w:spacing w:before="155" w:line="192" w:lineRule="auto"/>
            <w:ind w:left="319"/>
            <w:rPr>
              <w:rFonts w:ascii="Times New Roman" w:hAnsi="Times New Roman" w:eastAsia="Times New Roman" w:cs="Times New Roman"/>
              <w:sz w:val="19"/>
              <w:szCs w:val="19"/>
            </w:rPr>
          </w:pPr>
          <w:r>
            <w:fldChar w:fldCharType="begin"/>
          </w:r>
          <w:r>
            <w:instrText xml:space="preserve"> HYPERLINK \l "bookmark67" </w:instrText>
          </w:r>
          <w:r>
            <w:fldChar w:fldCharType="separate"/>
          </w:r>
          <w:r>
            <w:rPr>
              <w:rFonts w:ascii="Times New Roman" w:hAnsi="Times New Roman" w:eastAsia="Times New Roman" w:cs="Times New Roman"/>
              <w:sz w:val="19"/>
              <w:szCs w:val="19"/>
            </w:rPr>
            <w:t>8.2Extinguishing</w:t>
          </w:r>
          <w:r>
            <w:rPr>
              <w:rFonts w:ascii="Times New Roman" w:hAnsi="Times New Roman" w:eastAsia="Times New Roman" w:cs="Times New Roman"/>
              <w:spacing w:val="-1"/>
              <w:sz w:val="19"/>
              <w:szCs w:val="19"/>
            </w:rPr>
            <w:t>equipmentwithfiredetectiontube</w:t>
          </w:r>
          <w:r>
            <w:rPr>
              <w:rFonts w:ascii="Times New Roman" w:hAnsi="Times New Roman" w:eastAsia="Times New Roman" w:cs="Times New Roman"/>
              <w:spacing w:val="-1"/>
              <w:sz w:val="19"/>
              <w:szCs w:val="19"/>
            </w:rPr>
            <w:fldChar w:fldCharType="end"/>
          </w:r>
        </w:p>
        <w:p>
          <w:pPr>
            <w:tabs>
              <w:tab w:val="right" w:leader="dot" w:pos="5717"/>
            </w:tabs>
            <w:spacing w:before="184" w:line="133" w:lineRule="exact"/>
            <w:ind w:left="939"/>
            <w:rPr>
              <w:rFonts w:ascii="黑体" w:hAnsi="黑体" w:eastAsia="黑体" w:cs="黑体"/>
              <w:sz w:val="10"/>
              <w:szCs w:val="10"/>
            </w:rPr>
          </w:pPr>
          <w:r>
            <w:fldChar w:fldCharType="begin"/>
          </w:r>
          <w:r>
            <w:instrText xml:space="preserve"> HYPERLINK \l "bookmark68" </w:instrText>
          </w:r>
          <w:r>
            <w:fldChar w:fldCharType="separate"/>
          </w:r>
          <w:r>
            <w:rPr>
              <w:rFonts w:ascii="黑体" w:hAnsi="黑体" w:eastAsia="黑体" w:cs="黑体"/>
              <w:sz w:val="10"/>
              <w:szCs w:val="10"/>
            </w:rPr>
            <w:tab/>
          </w:r>
          <w:r>
            <w:rPr>
              <w:rFonts w:ascii="黑体" w:hAnsi="黑体" w:eastAsia="黑体" w:cs="黑体"/>
              <w:spacing w:val="-1"/>
              <w:sz w:val="10"/>
              <w:szCs w:val="10"/>
            </w:rPr>
            <w:t>47</w:t>
          </w:r>
          <w:r>
            <w:rPr>
              <w:rFonts w:ascii="黑体" w:hAnsi="黑体" w:eastAsia="黑体" w:cs="黑体"/>
              <w:spacing w:val="-1"/>
              <w:sz w:val="10"/>
              <w:szCs w:val="10"/>
            </w:rPr>
            <w:fldChar w:fldCharType="end"/>
          </w:r>
        </w:p>
        <w:p>
          <w:pPr>
            <w:spacing w:before="128" w:line="192" w:lineRule="auto"/>
            <w:ind w:left="339"/>
            <w:rPr>
              <w:rFonts w:ascii="Times New Roman" w:hAnsi="Times New Roman" w:eastAsia="Times New Roman" w:cs="Times New Roman"/>
              <w:sz w:val="19"/>
              <w:szCs w:val="19"/>
            </w:rPr>
          </w:pPr>
          <w:r>
            <w:fldChar w:fldCharType="begin"/>
          </w:r>
          <w:r>
            <w:instrText xml:space="preserve"> HYPERLINK \l "bookmark69" </w:instrText>
          </w:r>
          <w:r>
            <w:fldChar w:fldCharType="separate"/>
          </w:r>
          <w:r>
            <w:rPr>
              <w:rFonts w:ascii="Times New Roman" w:hAnsi="Times New Roman" w:eastAsia="Times New Roman" w:cs="Times New Roman"/>
              <w:sz w:val="19"/>
              <w:szCs w:val="19"/>
            </w:rPr>
            <w:t>8.3Ultra-fine</w:t>
          </w:r>
          <w:r>
            <w:rPr>
              <w:rFonts w:ascii="Times New Roman" w:hAnsi="Times New Roman" w:eastAsia="Times New Roman" w:cs="Times New Roman"/>
              <w:spacing w:val="-1"/>
              <w:sz w:val="19"/>
              <w:szCs w:val="19"/>
            </w:rPr>
            <w:t>powderautomaticfireextinguishing</w:t>
          </w:r>
          <w:r>
            <w:rPr>
              <w:rFonts w:ascii="Times New Roman" w:hAnsi="Times New Roman" w:eastAsia="Times New Roman" w:cs="Times New Roman"/>
              <w:spacing w:val="-1"/>
              <w:sz w:val="19"/>
              <w:szCs w:val="19"/>
            </w:rPr>
            <w:fldChar w:fldCharType="end"/>
          </w:r>
        </w:p>
        <w:p>
          <w:pPr>
            <w:tabs>
              <w:tab w:val="right" w:leader="dot" w:pos="5800"/>
            </w:tabs>
            <w:spacing w:before="136" w:line="192" w:lineRule="auto"/>
            <w:ind w:left="869"/>
            <w:rPr>
              <w:rFonts w:ascii="Times New Roman" w:hAnsi="Times New Roman" w:eastAsia="Times New Roman" w:cs="Times New Roman"/>
              <w:sz w:val="19"/>
              <w:szCs w:val="19"/>
            </w:rPr>
          </w:pPr>
          <w:r>
            <w:fldChar w:fldCharType="begin"/>
          </w:r>
          <w:r>
            <w:instrText xml:space="preserve"> HYPERLINK \l "bookmark69" </w:instrText>
          </w:r>
          <w:r>
            <w:fldChar w:fldCharType="separate"/>
          </w:r>
          <w:r>
            <w:rPr>
              <w:rFonts w:ascii="Times New Roman" w:hAnsi="Times New Roman" w:eastAsia="Times New Roman" w:cs="Times New Roman"/>
              <w:spacing w:val="-1"/>
              <w:sz w:val="19"/>
              <w:szCs w:val="19"/>
            </w:rPr>
            <w:t>equipment</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50</w:t>
          </w:r>
          <w:r>
            <w:rPr>
              <w:rFonts w:ascii="Times New Roman" w:hAnsi="Times New Roman" w:eastAsia="Times New Roman" w:cs="Times New Roman"/>
              <w:spacing w:val="-3"/>
              <w:sz w:val="19"/>
              <w:szCs w:val="19"/>
            </w:rPr>
            <w:fldChar w:fldCharType="end"/>
          </w:r>
        </w:p>
        <w:p>
          <w:pPr>
            <w:tabs>
              <w:tab w:val="right" w:leader="dot" w:pos="5810"/>
            </w:tabs>
            <w:spacing w:before="135" w:line="192" w:lineRule="auto"/>
            <w:rPr>
              <w:rFonts w:ascii="Times New Roman" w:hAnsi="Times New Roman" w:eastAsia="Times New Roman" w:cs="Times New Roman"/>
              <w:sz w:val="19"/>
              <w:szCs w:val="19"/>
            </w:rPr>
          </w:pPr>
          <w:r>
            <w:fldChar w:fldCharType="begin"/>
          </w:r>
          <w:r>
            <w:instrText xml:space="preserve"> HYPERLINK \l "bookmark70" </w:instrText>
          </w:r>
          <w:r>
            <w:fldChar w:fldCharType="separate"/>
          </w:r>
          <w:r>
            <w:rPr>
              <w:rFonts w:ascii="Times New Roman" w:hAnsi="Times New Roman" w:eastAsia="Times New Roman" w:cs="Times New Roman"/>
              <w:sz w:val="19"/>
              <w:szCs w:val="19"/>
            </w:rPr>
            <w:t>Explanationofwordinginthisstandard</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52</w:t>
          </w:r>
          <w:r>
            <w:rPr>
              <w:rFonts w:ascii="Times New Roman" w:hAnsi="Times New Roman" w:eastAsia="Times New Roman" w:cs="Times New Roman"/>
              <w:spacing w:val="-3"/>
              <w:sz w:val="19"/>
              <w:szCs w:val="19"/>
            </w:rPr>
            <w:fldChar w:fldCharType="end"/>
          </w:r>
        </w:p>
        <w:p>
          <w:pPr>
            <w:tabs>
              <w:tab w:val="right" w:leader="dot" w:pos="5810"/>
            </w:tabs>
            <w:spacing w:before="156" w:line="192" w:lineRule="auto"/>
            <w:rPr>
              <w:rFonts w:ascii="Times New Roman" w:hAnsi="Times New Roman" w:eastAsia="Times New Roman" w:cs="Times New Roman"/>
              <w:sz w:val="19"/>
              <w:szCs w:val="19"/>
            </w:rPr>
          </w:pPr>
          <w:r>
            <w:fldChar w:fldCharType="begin"/>
          </w:r>
          <w:r>
            <w:instrText xml:space="preserve"> HYPERLINK \l "bookmark71" </w:instrText>
          </w:r>
          <w:r>
            <w:fldChar w:fldCharType="separate"/>
          </w:r>
          <w:r>
            <w:rPr>
              <w:rFonts w:ascii="Times New Roman" w:hAnsi="Times New Roman" w:eastAsia="Times New Roman" w:cs="Times New Roman"/>
              <w:sz w:val="19"/>
              <w:szCs w:val="19"/>
            </w:rPr>
            <w:t>Iistofquotedstandards</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53</w:t>
          </w:r>
          <w:r>
            <w:rPr>
              <w:rFonts w:ascii="Times New Roman" w:hAnsi="Times New Roman" w:eastAsia="Times New Roman" w:cs="Times New Roman"/>
              <w:spacing w:val="-3"/>
              <w:sz w:val="19"/>
              <w:szCs w:val="19"/>
            </w:rPr>
            <w:fldChar w:fldCharType="end"/>
          </w:r>
        </w:p>
        <w:p>
          <w:pPr>
            <w:spacing w:before="134" w:line="192" w:lineRule="auto"/>
            <w:ind w:left="39"/>
            <w:rPr>
              <w:rFonts w:ascii="Times New Roman" w:hAnsi="Times New Roman" w:eastAsia="Times New Roman" w:cs="Times New Roman"/>
              <w:sz w:val="19"/>
              <w:szCs w:val="19"/>
            </w:rPr>
          </w:pPr>
          <w:r>
            <w:fldChar w:fldCharType="begin"/>
          </w:r>
          <w:r>
            <w:instrText xml:space="preserve"> HYPERLINK \l "bookmark72" </w:instrText>
          </w:r>
          <w:r>
            <w:fldChar w:fldCharType="separate"/>
          </w:r>
          <w:r>
            <w:rPr>
              <w:rFonts w:ascii="Times New Roman" w:hAnsi="Times New Roman" w:eastAsia="Times New Roman" w:cs="Times New Roman"/>
              <w:sz w:val="19"/>
              <w:szCs w:val="19"/>
            </w:rPr>
            <w:t>Standard</w:t>
          </w:r>
          <w:r>
            <w:rPr>
              <w:rFonts w:ascii="Times New Roman" w:hAnsi="Times New Roman" w:eastAsia="Times New Roman" w:cs="Times New Roman"/>
              <w:spacing w:val="1"/>
              <w:sz w:val="19"/>
              <w:szCs w:val="19"/>
            </w:rPr>
            <w:t>-</w:t>
          </w:r>
          <w:r>
            <w:rPr>
              <w:rFonts w:ascii="Times New Roman" w:hAnsi="Times New Roman" w:eastAsia="Times New Roman" w:cs="Times New Roman"/>
              <w:sz w:val="19"/>
              <w:szCs w:val="19"/>
            </w:rPr>
            <w:t>settingunitsandpersonnelofthepreviousversion</w:t>
          </w:r>
          <w:r>
            <w:rPr>
              <w:rFonts w:ascii="Times New Roman" w:hAnsi="Times New Roman" w:eastAsia="Times New Roman" w:cs="Times New Roman"/>
              <w:sz w:val="19"/>
              <w:szCs w:val="19"/>
            </w:rPr>
            <w:fldChar w:fldCharType="end"/>
          </w:r>
        </w:p>
        <w:p>
          <w:pPr>
            <w:tabs>
              <w:tab w:val="right" w:leader="dot" w:pos="5727"/>
            </w:tabs>
            <w:spacing w:before="195" w:line="242" w:lineRule="auto"/>
            <w:ind w:left="310"/>
            <w:rPr>
              <w:rFonts w:ascii="黑体" w:hAnsi="黑体" w:eastAsia="黑体" w:cs="黑体"/>
              <w:sz w:val="10"/>
              <w:szCs w:val="10"/>
            </w:rPr>
          </w:pPr>
          <w:r>
            <w:fldChar w:fldCharType="begin"/>
          </w:r>
          <w:r>
            <w:instrText xml:space="preserve"> HYPERLINK \l "bookmark73" </w:instrText>
          </w:r>
          <w:r>
            <w:fldChar w:fldCharType="separate"/>
          </w:r>
          <w:r>
            <w:rPr>
              <w:rFonts w:ascii="黑体" w:hAnsi="黑体" w:eastAsia="黑体" w:cs="黑体"/>
              <w:sz w:val="10"/>
              <w:szCs w:val="10"/>
            </w:rPr>
            <w:tab/>
          </w:r>
          <w:r>
            <w:rPr>
              <w:rFonts w:ascii="黑体" w:hAnsi="黑体" w:eastAsia="黑体" w:cs="黑体"/>
              <w:spacing w:val="-1"/>
              <w:sz w:val="10"/>
              <w:szCs w:val="10"/>
            </w:rPr>
            <w:t>55</w:t>
          </w:r>
          <w:r>
            <w:rPr>
              <w:rFonts w:ascii="黑体" w:hAnsi="黑体" w:eastAsia="黑体" w:cs="黑体"/>
              <w:spacing w:val="-1"/>
              <w:sz w:val="10"/>
              <w:szCs w:val="10"/>
            </w:rPr>
            <w:fldChar w:fldCharType="end"/>
          </w:r>
        </w:p>
        <w:p>
          <w:pPr>
            <w:tabs>
              <w:tab w:val="right" w:leader="dot" w:pos="5810"/>
            </w:tabs>
            <w:spacing w:before="120" w:line="192" w:lineRule="auto"/>
            <w:rPr>
              <w:rFonts w:ascii="Times New Roman" w:hAnsi="Times New Roman" w:eastAsia="Times New Roman" w:cs="Times New Roman"/>
              <w:sz w:val="19"/>
              <w:szCs w:val="19"/>
            </w:rPr>
          </w:pPr>
          <w:r>
            <w:fldChar w:fldCharType="begin"/>
          </w:r>
          <w:r>
            <w:instrText xml:space="preserve"> HYPERLINK \l "bookmark74" </w:instrText>
          </w:r>
          <w:r>
            <w:fldChar w:fldCharType="separate"/>
          </w:r>
          <w:r>
            <w:rPr>
              <w:rFonts w:ascii="Times New Roman" w:hAnsi="Times New Roman" w:eastAsia="Times New Roman" w:cs="Times New Roman"/>
              <w:sz w:val="19"/>
              <w:szCs w:val="19"/>
            </w:rPr>
            <w:t>Explanationofprovisions</w:t>
          </w:r>
          <w:r>
            <w:rPr>
              <w:rFonts w:ascii="Times New Roman" w:hAnsi="Times New Roman" w:eastAsia="Times New Roman" w:cs="Times New Roman"/>
              <w:sz w:val="19"/>
              <w:szCs w:val="19"/>
            </w:rPr>
            <w:tab/>
          </w:r>
          <w:r>
            <w:rPr>
              <w:rFonts w:ascii="Times New Roman" w:hAnsi="Times New Roman" w:eastAsia="Times New Roman" w:cs="Times New Roman"/>
              <w:spacing w:val="-3"/>
              <w:sz w:val="19"/>
              <w:szCs w:val="19"/>
            </w:rPr>
            <w:t>57</w:t>
          </w:r>
          <w:r>
            <w:rPr>
              <w:rFonts w:ascii="Times New Roman" w:hAnsi="Times New Roman" w:eastAsia="Times New Roman" w:cs="Times New Roman"/>
              <w:spacing w:val="-3"/>
              <w:sz w:val="19"/>
              <w:szCs w:val="19"/>
            </w:rPr>
            <w:fldChar w:fldCharType="end"/>
          </w:r>
        </w:p>
      </w:sdtContent>
    </w:sdt>
    <w:p>
      <w:pPr>
        <w:spacing w:line="192" w:lineRule="auto"/>
        <w:rPr>
          <w:rFonts w:ascii="Times New Roman" w:hAnsi="Times New Roman" w:eastAsia="Times New Roman" w:cs="Times New Roman"/>
          <w:sz w:val="19"/>
          <w:szCs w:val="19"/>
        </w:rPr>
        <w:sectPr>
          <w:footerReference r:id="rId12" w:type="default"/>
          <w:pgSz w:w="8280" w:h="11850"/>
          <w:pgMar w:top="1007" w:right="1242" w:bottom="1394" w:left="1200" w:header="0" w:footer="1178" w:gutter="0"/>
          <w:cols w:space="720" w:num="1"/>
        </w:sectPr>
      </w:pPr>
    </w:p>
    <w:p>
      <w:pPr>
        <w:pStyle w:val="2"/>
        <w:spacing w:line="279" w:lineRule="auto"/>
      </w:pPr>
    </w:p>
    <w:p>
      <w:pPr>
        <w:pStyle w:val="2"/>
        <w:spacing w:line="279" w:lineRule="auto"/>
      </w:pPr>
    </w:p>
    <w:p>
      <w:pPr>
        <w:pStyle w:val="2"/>
        <w:spacing w:line="280" w:lineRule="auto"/>
      </w:pPr>
    </w:p>
    <w:p>
      <w:pPr>
        <w:spacing w:before="84" w:line="222" w:lineRule="auto"/>
        <w:ind w:left="2313"/>
        <w:outlineLvl w:val="0"/>
        <w:rPr>
          <w:rFonts w:ascii="黑体" w:hAnsi="黑体" w:eastAsia="黑体" w:cs="黑体"/>
          <w:sz w:val="26"/>
          <w:szCs w:val="26"/>
        </w:rPr>
      </w:pPr>
      <w:bookmarkStart w:id="0" w:name="bookmark1"/>
      <w:bookmarkEnd w:id="0"/>
      <w:r>
        <w:rPr>
          <w:rFonts w:ascii="宋体" w:hAnsi="宋体" w:eastAsia="宋体" w:cs="宋体"/>
          <w:b/>
          <w:bCs/>
          <w:spacing w:val="-18"/>
          <w:sz w:val="26"/>
          <w:szCs w:val="26"/>
        </w:rPr>
        <w:t>1</w:t>
      </w:r>
      <w:r>
        <w:rPr>
          <w:rFonts w:ascii="黑体" w:hAnsi="黑体" w:eastAsia="黑体" w:cs="黑体"/>
          <w:b/>
          <w:bCs/>
          <w:spacing w:val="-18"/>
          <w:sz w:val="26"/>
          <w:szCs w:val="26"/>
        </w:rPr>
        <w:t>总则</w:t>
      </w:r>
    </w:p>
    <w:p>
      <w:pPr>
        <w:pStyle w:val="2"/>
        <w:spacing w:line="295" w:lineRule="auto"/>
      </w:pPr>
    </w:p>
    <w:p>
      <w:pPr>
        <w:pStyle w:val="2"/>
        <w:spacing w:line="295" w:lineRule="auto"/>
      </w:pPr>
    </w:p>
    <w:p>
      <w:pPr>
        <w:spacing w:before="65" w:line="270" w:lineRule="auto"/>
        <w:ind w:firstLine="2"/>
        <w:rPr>
          <w:rFonts w:ascii="宋体" w:hAnsi="宋体" w:eastAsia="宋体" w:cs="宋体"/>
          <w:sz w:val="20"/>
          <w:szCs w:val="20"/>
        </w:rPr>
      </w:pPr>
      <w:r>
        <w:rPr>
          <w:rFonts w:ascii="宋体" w:hAnsi="宋体" w:eastAsia="宋体" w:cs="宋体"/>
          <w:b/>
          <w:bCs/>
          <w:spacing w:val="6"/>
          <w:sz w:val="20"/>
          <w:szCs w:val="20"/>
        </w:rPr>
        <w:t>1.0.1</w:t>
      </w:r>
      <w:r>
        <w:rPr>
          <w:rFonts w:ascii="宋体" w:hAnsi="宋体" w:eastAsia="宋体" w:cs="宋体"/>
          <w:spacing w:val="6"/>
          <w:sz w:val="20"/>
          <w:szCs w:val="20"/>
        </w:rPr>
        <w:t>为规范民用建筑水灭火系统设计，确保人身和</w:t>
      </w:r>
      <w:r>
        <w:rPr>
          <w:rFonts w:ascii="宋体" w:hAnsi="宋体" w:eastAsia="宋体" w:cs="宋体"/>
          <w:spacing w:val="5"/>
          <w:sz w:val="20"/>
          <w:szCs w:val="20"/>
        </w:rPr>
        <w:t>财产安全、</w:t>
      </w:r>
      <w:r>
        <w:rPr>
          <w:rFonts w:ascii="宋体" w:hAnsi="宋体" w:eastAsia="宋体" w:cs="宋体"/>
          <w:spacing w:val="9"/>
          <w:sz w:val="20"/>
          <w:szCs w:val="20"/>
        </w:rPr>
        <w:t>技术先进、经济合理，结合本市的特点和消防灭火装备的配备情</w:t>
      </w:r>
      <w:r>
        <w:rPr>
          <w:rFonts w:ascii="宋体" w:hAnsi="宋体" w:eastAsia="宋体" w:cs="宋体"/>
          <w:spacing w:val="-8"/>
          <w:sz w:val="20"/>
          <w:szCs w:val="20"/>
        </w:rPr>
        <w:t>况，制定本标准。</w:t>
      </w:r>
    </w:p>
    <w:p>
      <w:pPr>
        <w:spacing w:before="72" w:line="270" w:lineRule="auto"/>
        <w:ind w:right="81" w:firstLine="2"/>
        <w:rPr>
          <w:rFonts w:ascii="宋体" w:hAnsi="宋体" w:eastAsia="宋体" w:cs="宋体"/>
          <w:sz w:val="20"/>
          <w:szCs w:val="20"/>
        </w:rPr>
      </w:pPr>
      <w:r>
        <w:rPr>
          <w:rFonts w:ascii="宋体" w:hAnsi="宋体" w:eastAsia="宋体" w:cs="宋体"/>
          <w:b/>
          <w:bCs/>
          <w:spacing w:val="5"/>
          <w:sz w:val="20"/>
          <w:szCs w:val="20"/>
        </w:rPr>
        <w:t>1.0.2</w:t>
      </w:r>
      <w:r>
        <w:rPr>
          <w:rFonts w:ascii="宋体" w:hAnsi="宋体" w:eastAsia="宋体" w:cs="宋体"/>
          <w:spacing w:val="5"/>
          <w:sz w:val="20"/>
          <w:szCs w:val="20"/>
        </w:rPr>
        <w:t>本标准适用于本市民用建筑新建、改建</w:t>
      </w:r>
      <w:r>
        <w:rPr>
          <w:rFonts w:ascii="宋体" w:hAnsi="宋体" w:eastAsia="宋体" w:cs="宋体"/>
          <w:spacing w:val="4"/>
          <w:sz w:val="20"/>
          <w:szCs w:val="20"/>
        </w:rPr>
        <w:t>、扩建建设工程和</w:t>
      </w:r>
      <w:r>
        <w:rPr>
          <w:rFonts w:ascii="宋体" w:hAnsi="宋体" w:eastAsia="宋体" w:cs="宋体"/>
          <w:spacing w:val="13"/>
          <w:sz w:val="20"/>
          <w:szCs w:val="20"/>
        </w:rPr>
        <w:t>装饰装修工程的水灭火系统和其他灭火系统及装置(氮气灭火系</w:t>
      </w:r>
      <w:r>
        <w:rPr>
          <w:rFonts w:ascii="宋体" w:hAnsi="宋体" w:eastAsia="宋体" w:cs="宋体"/>
          <w:spacing w:val="5"/>
          <w:sz w:val="20"/>
          <w:szCs w:val="20"/>
        </w:rPr>
        <w:t>统、探火管灭火装置和超细干粉自动灭火装</w:t>
      </w:r>
      <w:r>
        <w:rPr>
          <w:rFonts w:ascii="宋体" w:hAnsi="宋体" w:eastAsia="宋体" w:cs="宋体"/>
          <w:spacing w:val="4"/>
          <w:sz w:val="20"/>
          <w:szCs w:val="20"/>
        </w:rPr>
        <w:t>置)的设计。</w:t>
      </w:r>
    </w:p>
    <w:p>
      <w:pPr>
        <w:spacing w:before="72" w:line="270" w:lineRule="auto"/>
        <w:ind w:right="86" w:firstLine="2"/>
        <w:rPr>
          <w:rFonts w:ascii="宋体" w:hAnsi="宋体" w:eastAsia="宋体" w:cs="宋体"/>
          <w:sz w:val="20"/>
          <w:szCs w:val="20"/>
        </w:rPr>
      </w:pPr>
      <w:r>
        <w:rPr>
          <w:rFonts w:ascii="宋体" w:hAnsi="宋体" w:eastAsia="宋体" w:cs="宋体"/>
          <w:b/>
          <w:bCs/>
          <w:spacing w:val="18"/>
          <w:sz w:val="20"/>
          <w:szCs w:val="20"/>
        </w:rPr>
        <w:t>1.0.3</w:t>
      </w:r>
      <w:r>
        <w:rPr>
          <w:rFonts w:ascii="宋体" w:hAnsi="宋体" w:eastAsia="宋体" w:cs="宋体"/>
          <w:spacing w:val="18"/>
          <w:sz w:val="20"/>
          <w:szCs w:val="20"/>
        </w:rPr>
        <w:t>民用建筑水灭火系统的设计应根据建筑的用途及重要</w:t>
      </w:r>
      <w:r>
        <w:rPr>
          <w:rFonts w:ascii="宋体" w:hAnsi="宋体" w:eastAsia="宋体" w:cs="宋体"/>
          <w:spacing w:val="9"/>
          <w:sz w:val="20"/>
          <w:szCs w:val="20"/>
        </w:rPr>
        <w:t>性、火灾危险性、火灾特性及环境条件等因素综合确定，并应积</w:t>
      </w:r>
      <w:r>
        <w:rPr>
          <w:rFonts w:ascii="宋体" w:hAnsi="宋体" w:eastAsia="宋体" w:cs="宋体"/>
          <w:spacing w:val="-3"/>
          <w:sz w:val="20"/>
          <w:szCs w:val="20"/>
        </w:rPr>
        <w:t>极、合理地采用先进技术、先进工艺、先进设备和新型材料。</w:t>
      </w:r>
    </w:p>
    <w:p>
      <w:pPr>
        <w:spacing w:before="72" w:line="258" w:lineRule="auto"/>
        <w:ind w:right="68" w:firstLine="2"/>
        <w:rPr>
          <w:rFonts w:ascii="宋体" w:hAnsi="宋体" w:eastAsia="宋体" w:cs="宋体"/>
          <w:sz w:val="20"/>
          <w:szCs w:val="20"/>
        </w:rPr>
      </w:pPr>
      <w:r>
        <w:rPr>
          <w:rFonts w:ascii="宋体" w:hAnsi="宋体" w:eastAsia="宋体" w:cs="宋体"/>
          <w:b/>
          <w:bCs/>
          <w:spacing w:val="12"/>
          <w:sz w:val="20"/>
          <w:szCs w:val="20"/>
        </w:rPr>
        <w:t>1.0.4</w:t>
      </w:r>
      <w:r>
        <w:rPr>
          <w:rFonts w:ascii="宋体" w:hAnsi="宋体" w:eastAsia="宋体" w:cs="宋体"/>
          <w:spacing w:val="12"/>
          <w:sz w:val="20"/>
          <w:szCs w:val="20"/>
        </w:rPr>
        <w:t>除本标准另有规定和不宜用水保护或灭火</w:t>
      </w:r>
      <w:r>
        <w:rPr>
          <w:rFonts w:ascii="宋体" w:hAnsi="宋体" w:eastAsia="宋体" w:cs="宋体"/>
          <w:spacing w:val="11"/>
          <w:sz w:val="20"/>
          <w:szCs w:val="20"/>
        </w:rPr>
        <w:t>的场所外，民</w:t>
      </w:r>
      <w:r>
        <w:rPr>
          <w:rFonts w:ascii="宋体" w:hAnsi="宋体" w:eastAsia="宋体" w:cs="宋体"/>
          <w:spacing w:val="8"/>
          <w:sz w:val="20"/>
          <w:szCs w:val="20"/>
        </w:rPr>
        <w:t>用建筑灭火系统设计应优先使用水灭火系统。</w:t>
      </w:r>
    </w:p>
    <w:p>
      <w:pPr>
        <w:spacing w:before="73" w:line="263" w:lineRule="auto"/>
        <w:ind w:right="70" w:firstLine="2"/>
        <w:rPr>
          <w:rFonts w:ascii="宋体" w:hAnsi="宋体" w:eastAsia="宋体" w:cs="宋体"/>
          <w:sz w:val="20"/>
          <w:szCs w:val="20"/>
        </w:rPr>
      </w:pPr>
      <w:r>
        <w:rPr>
          <w:rFonts w:ascii="宋体" w:hAnsi="宋体" w:eastAsia="宋体" w:cs="宋体"/>
          <w:b/>
          <w:bCs/>
          <w:spacing w:val="12"/>
          <w:sz w:val="20"/>
          <w:szCs w:val="20"/>
        </w:rPr>
        <w:t>1.0.5</w:t>
      </w:r>
      <w:r>
        <w:rPr>
          <w:rFonts w:ascii="宋体" w:hAnsi="宋体" w:eastAsia="宋体" w:cs="宋体"/>
          <w:spacing w:val="12"/>
          <w:sz w:val="20"/>
          <w:szCs w:val="20"/>
        </w:rPr>
        <w:t>民用建筑水灭火系统组件应符合国家</w:t>
      </w:r>
      <w:r>
        <w:rPr>
          <w:rFonts w:ascii="宋体" w:hAnsi="宋体" w:eastAsia="宋体" w:cs="宋体"/>
          <w:spacing w:val="11"/>
          <w:sz w:val="20"/>
          <w:szCs w:val="20"/>
        </w:rPr>
        <w:t>现行相关产品标准</w:t>
      </w:r>
      <w:r>
        <w:rPr>
          <w:rFonts w:ascii="宋体" w:hAnsi="宋体" w:eastAsia="宋体" w:cs="宋体"/>
          <w:spacing w:val="5"/>
          <w:sz w:val="20"/>
          <w:szCs w:val="20"/>
        </w:rPr>
        <w:t>的要求。</w:t>
      </w:r>
    </w:p>
    <w:p>
      <w:pPr>
        <w:spacing w:before="49" w:line="280" w:lineRule="auto"/>
        <w:ind w:right="92" w:firstLine="2"/>
        <w:rPr>
          <w:rFonts w:ascii="宋体" w:hAnsi="宋体" w:eastAsia="宋体" w:cs="宋体"/>
          <w:sz w:val="20"/>
          <w:szCs w:val="20"/>
        </w:rPr>
      </w:pPr>
      <w:r>
        <w:rPr>
          <w:rFonts w:ascii="宋体" w:hAnsi="宋体" w:eastAsia="宋体" w:cs="宋体"/>
          <w:b/>
          <w:bCs/>
          <w:spacing w:val="11"/>
          <w:sz w:val="20"/>
          <w:szCs w:val="20"/>
        </w:rPr>
        <w:t>1.0.6</w:t>
      </w:r>
      <w:r>
        <w:rPr>
          <w:rFonts w:ascii="宋体" w:hAnsi="宋体" w:eastAsia="宋体" w:cs="宋体"/>
          <w:spacing w:val="11"/>
          <w:sz w:val="20"/>
          <w:szCs w:val="20"/>
        </w:rPr>
        <w:t>民用建筑水灭火系统的设计除应符合本标准外，尚应符</w:t>
      </w:r>
      <w:r>
        <w:rPr>
          <w:rFonts w:ascii="宋体" w:hAnsi="宋体" w:eastAsia="宋体" w:cs="宋体"/>
          <w:spacing w:val="4"/>
          <w:sz w:val="20"/>
          <w:szCs w:val="20"/>
        </w:rPr>
        <w:t>合国家、行业和本市现行有关标准的规定。</w:t>
      </w:r>
    </w:p>
    <w:p>
      <w:pPr>
        <w:spacing w:line="280" w:lineRule="auto"/>
        <w:rPr>
          <w:rFonts w:ascii="宋体" w:hAnsi="宋体" w:eastAsia="宋体" w:cs="宋体"/>
          <w:sz w:val="20"/>
          <w:szCs w:val="20"/>
        </w:rPr>
        <w:sectPr>
          <w:footerReference r:id="rId13" w:type="default"/>
          <w:pgSz w:w="8280" w:h="11850"/>
          <w:pgMar w:top="1007" w:right="1140" w:bottom="1301" w:left="1190" w:header="0" w:footer="1040" w:gutter="0"/>
          <w:cols w:space="720" w:num="1"/>
        </w:sectPr>
      </w:pPr>
    </w:p>
    <w:p>
      <w:pPr>
        <w:pStyle w:val="2"/>
        <w:spacing w:line="250" w:lineRule="auto"/>
      </w:pPr>
    </w:p>
    <w:p>
      <w:pPr>
        <w:pStyle w:val="2"/>
        <w:spacing w:line="251" w:lineRule="auto"/>
      </w:pPr>
    </w:p>
    <w:p>
      <w:pPr>
        <w:pStyle w:val="2"/>
        <w:spacing w:line="251" w:lineRule="auto"/>
      </w:pPr>
    </w:p>
    <w:p>
      <w:pPr>
        <w:spacing w:before="91" w:line="222" w:lineRule="auto"/>
        <w:ind w:left="2013"/>
        <w:outlineLvl w:val="0"/>
        <w:rPr>
          <w:rFonts w:ascii="黑体" w:hAnsi="黑体" w:eastAsia="黑体" w:cs="黑体"/>
          <w:sz w:val="28"/>
          <w:szCs w:val="28"/>
        </w:rPr>
      </w:pPr>
      <w:bookmarkStart w:id="1" w:name="bookmark75"/>
      <w:bookmarkEnd w:id="1"/>
      <w:bookmarkStart w:id="2" w:name="bookmark2"/>
      <w:bookmarkEnd w:id="2"/>
      <w:r>
        <w:rPr>
          <w:rFonts w:ascii="宋体" w:hAnsi="宋体" w:eastAsia="宋体" w:cs="宋体"/>
          <w:b/>
          <w:bCs/>
          <w:spacing w:val="-7"/>
          <w:sz w:val="28"/>
          <w:szCs w:val="28"/>
        </w:rPr>
        <w:t>2</w:t>
      </w:r>
      <w:r>
        <w:rPr>
          <w:rFonts w:ascii="黑体" w:hAnsi="黑体" w:eastAsia="黑体" w:cs="黑体"/>
          <w:b/>
          <w:bCs/>
          <w:spacing w:val="-7"/>
          <w:sz w:val="28"/>
          <w:szCs w:val="28"/>
        </w:rPr>
        <w:t>术语与符号</w:t>
      </w:r>
    </w:p>
    <w:p>
      <w:pPr>
        <w:pStyle w:val="2"/>
        <w:spacing w:line="285" w:lineRule="auto"/>
      </w:pPr>
    </w:p>
    <w:p>
      <w:pPr>
        <w:pStyle w:val="2"/>
        <w:spacing w:line="286" w:lineRule="auto"/>
      </w:pPr>
    </w:p>
    <w:p>
      <w:pPr>
        <w:spacing w:before="68" w:line="222" w:lineRule="auto"/>
        <w:ind w:left="2343"/>
        <w:outlineLvl w:val="1"/>
        <w:rPr>
          <w:rFonts w:ascii="黑体" w:hAnsi="黑体" w:eastAsia="黑体" w:cs="黑体"/>
          <w:sz w:val="21"/>
          <w:szCs w:val="21"/>
        </w:rPr>
      </w:pPr>
      <w:bookmarkStart w:id="3" w:name="bookmark3"/>
      <w:bookmarkEnd w:id="3"/>
      <w:r>
        <w:rPr>
          <w:rFonts w:ascii="宋体" w:hAnsi="宋体" w:eastAsia="宋体" w:cs="宋体"/>
          <w:b/>
          <w:bCs/>
          <w:spacing w:val="-6"/>
          <w:sz w:val="21"/>
          <w:szCs w:val="21"/>
        </w:rPr>
        <w:t>2.1</w:t>
      </w:r>
      <w:r>
        <w:rPr>
          <w:rFonts w:ascii="黑体" w:hAnsi="黑体" w:eastAsia="黑体" w:cs="黑体"/>
          <w:b/>
          <w:bCs/>
          <w:spacing w:val="-6"/>
          <w:sz w:val="21"/>
          <w:szCs w:val="21"/>
        </w:rPr>
        <w:t>术语</w:t>
      </w:r>
    </w:p>
    <w:p>
      <w:pPr>
        <w:pStyle w:val="2"/>
        <w:spacing w:line="296" w:lineRule="auto"/>
      </w:pPr>
    </w:p>
    <w:p>
      <w:pPr>
        <w:spacing w:before="68" w:line="212" w:lineRule="auto"/>
        <w:ind w:left="3"/>
        <w:rPr>
          <w:rFonts w:ascii="Times New Roman" w:hAnsi="Times New Roman" w:eastAsia="Times New Roman" w:cs="Times New Roman"/>
          <w:sz w:val="21"/>
          <w:szCs w:val="21"/>
        </w:rPr>
      </w:pPr>
      <w:r>
        <w:rPr>
          <w:rFonts w:ascii="宋体" w:hAnsi="宋体" w:eastAsia="宋体" w:cs="宋体"/>
          <w:b/>
          <w:bCs/>
          <w:sz w:val="21"/>
          <w:szCs w:val="21"/>
        </w:rPr>
        <w:t>2.1.1</w:t>
      </w:r>
      <w:r>
        <w:rPr>
          <w:rFonts w:ascii="宋体" w:hAnsi="宋体" w:eastAsia="宋体" w:cs="宋体"/>
          <w:sz w:val="21"/>
          <w:szCs w:val="21"/>
        </w:rPr>
        <w:t>压缩空气泡沫消火栓系统</w:t>
      </w:r>
      <w:r>
        <w:rPr>
          <w:rFonts w:ascii="Times New Roman" w:hAnsi="Times New Roman" w:eastAsia="Times New Roman" w:cs="Times New Roman"/>
          <w:sz w:val="21"/>
          <w:szCs w:val="21"/>
        </w:rPr>
        <w:t>compressedair</w:t>
      </w:r>
      <w:r>
        <w:rPr>
          <w:rFonts w:ascii="Times New Roman" w:hAnsi="Times New Roman" w:eastAsia="Times New Roman" w:cs="Times New Roman"/>
          <w:spacing w:val="-1"/>
          <w:sz w:val="21"/>
          <w:szCs w:val="21"/>
        </w:rPr>
        <w:t>foamhydrant</w:t>
      </w:r>
    </w:p>
    <w:p>
      <w:pPr>
        <w:spacing w:before="175" w:line="171" w:lineRule="auto"/>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system</w:t>
      </w:r>
    </w:p>
    <w:p>
      <w:pPr>
        <w:spacing w:before="96" w:line="272" w:lineRule="auto"/>
        <w:ind w:firstLine="429"/>
        <w:jc w:val="both"/>
        <w:rPr>
          <w:rFonts w:ascii="宋体" w:hAnsi="宋体" w:eastAsia="宋体" w:cs="宋体"/>
          <w:sz w:val="21"/>
          <w:szCs w:val="21"/>
        </w:rPr>
      </w:pPr>
      <w:r>
        <w:rPr>
          <w:rFonts w:ascii="宋体" w:hAnsi="宋体" w:eastAsia="宋体" w:cs="宋体"/>
          <w:spacing w:val="-1"/>
          <w:sz w:val="21"/>
          <w:szCs w:val="21"/>
        </w:rPr>
        <w:t>通过机械方式将压缩空气与泡沫液混合，由消防车通过专用</w:t>
      </w:r>
      <w:r>
        <w:rPr>
          <w:rFonts w:ascii="宋体" w:hAnsi="宋体" w:eastAsia="宋体" w:cs="宋体"/>
          <w:spacing w:val="5"/>
          <w:sz w:val="21"/>
          <w:szCs w:val="21"/>
        </w:rPr>
        <w:t>水泵接合器或由固定式压缩空气泡沫灭火装置向专用消防供水</w:t>
      </w:r>
      <w:r>
        <w:rPr>
          <w:rFonts w:ascii="宋体" w:hAnsi="宋体" w:eastAsia="宋体" w:cs="宋体"/>
          <w:spacing w:val="-4"/>
          <w:sz w:val="21"/>
          <w:szCs w:val="21"/>
        </w:rPr>
        <w:t>立管供水的灭火系统。</w:t>
      </w:r>
    </w:p>
    <w:p>
      <w:pPr>
        <w:spacing w:line="212"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2.1.2</w:t>
      </w:r>
      <w:r>
        <w:rPr>
          <w:rFonts w:ascii="宋体" w:hAnsi="宋体" w:eastAsia="宋体" w:cs="宋体"/>
          <w:spacing w:val="-1"/>
          <w:sz w:val="21"/>
          <w:szCs w:val="21"/>
        </w:rPr>
        <w:t>简易自动喷水灭火系统</w:t>
      </w:r>
      <w:r>
        <w:rPr>
          <w:rFonts w:ascii="Times New Roman" w:hAnsi="Times New Roman" w:eastAsia="Times New Roman" w:cs="Times New Roman"/>
          <w:spacing w:val="-1"/>
          <w:sz w:val="21"/>
          <w:szCs w:val="21"/>
        </w:rPr>
        <w:t>simplesprinklersystems</w:t>
      </w:r>
    </w:p>
    <w:p>
      <w:pPr>
        <w:spacing w:before="91" w:line="272" w:lineRule="auto"/>
        <w:ind w:right="25" w:firstLine="429"/>
        <w:jc w:val="both"/>
        <w:rPr>
          <w:rFonts w:ascii="宋体" w:hAnsi="宋体" w:eastAsia="宋体" w:cs="宋体"/>
          <w:sz w:val="21"/>
          <w:szCs w:val="21"/>
        </w:rPr>
      </w:pPr>
      <w:r>
        <w:rPr>
          <w:rFonts w:ascii="宋体" w:hAnsi="宋体" w:eastAsia="宋体" w:cs="宋体"/>
          <w:spacing w:val="-2"/>
          <w:sz w:val="21"/>
          <w:szCs w:val="21"/>
        </w:rPr>
        <w:t>由洒水喷头、水流报警装置等组件，以及管道、供水设施组</w:t>
      </w:r>
      <w:r>
        <w:rPr>
          <w:rFonts w:ascii="宋体" w:hAnsi="宋体" w:eastAsia="宋体" w:cs="宋体"/>
          <w:spacing w:val="-8"/>
          <w:sz w:val="21"/>
          <w:szCs w:val="21"/>
        </w:rPr>
        <w:t>成，与室内消火栓系统、市政或室内给水管网连接</w:t>
      </w:r>
      <w:r>
        <w:rPr>
          <w:rFonts w:ascii="宋体" w:hAnsi="宋体" w:eastAsia="宋体" w:cs="宋体"/>
          <w:spacing w:val="-9"/>
          <w:sz w:val="21"/>
          <w:szCs w:val="21"/>
        </w:rPr>
        <w:t>，能在发生火灾</w:t>
      </w:r>
      <w:r>
        <w:rPr>
          <w:rFonts w:ascii="宋体" w:hAnsi="宋体" w:eastAsia="宋体" w:cs="宋体"/>
          <w:spacing w:val="-1"/>
          <w:sz w:val="21"/>
          <w:szCs w:val="21"/>
        </w:rPr>
        <w:t>时喷水控火的湿式自动喷水灭火系统。</w:t>
      </w:r>
    </w:p>
    <w:p>
      <w:pPr>
        <w:spacing w:line="212"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2.1.3</w:t>
      </w:r>
      <w:r>
        <w:rPr>
          <w:rFonts w:ascii="宋体" w:hAnsi="宋体" w:eastAsia="宋体" w:cs="宋体"/>
          <w:spacing w:val="-1"/>
          <w:sz w:val="21"/>
          <w:szCs w:val="21"/>
        </w:rPr>
        <w:t>氮气灭火剂</w:t>
      </w:r>
      <w:r>
        <w:rPr>
          <w:rFonts w:ascii="Times New Roman" w:hAnsi="Times New Roman" w:eastAsia="Times New Roman" w:cs="Times New Roman"/>
          <w:spacing w:val="-1"/>
          <w:sz w:val="21"/>
          <w:szCs w:val="21"/>
        </w:rPr>
        <w:t>nitrogenfireextinguishingagent</w:t>
      </w:r>
    </w:p>
    <w:p>
      <w:pPr>
        <w:spacing w:before="69" w:line="212" w:lineRule="auto"/>
        <w:ind w:left="429"/>
        <w:rPr>
          <w:rFonts w:ascii="宋体" w:hAnsi="宋体" w:eastAsia="宋体" w:cs="宋体"/>
          <w:sz w:val="21"/>
          <w:szCs w:val="21"/>
        </w:rPr>
      </w:pPr>
      <w:r>
        <w:rPr>
          <w:rFonts w:ascii="宋体" w:hAnsi="宋体" w:eastAsia="宋体" w:cs="宋体"/>
          <w:spacing w:val="3"/>
          <w:sz w:val="21"/>
          <w:szCs w:val="21"/>
        </w:rPr>
        <w:t>由100%的氮气</w:t>
      </w:r>
      <w:r>
        <w:rPr>
          <w:rFonts w:ascii="Times New Roman" w:hAnsi="Times New Roman" w:eastAsia="Times New Roman" w:cs="Times New Roman"/>
          <w:spacing w:val="3"/>
          <w:sz w:val="21"/>
          <w:szCs w:val="21"/>
        </w:rPr>
        <w:t>(N₂)</w:t>
      </w:r>
      <w:r>
        <w:rPr>
          <w:rFonts w:ascii="宋体" w:hAnsi="宋体" w:eastAsia="宋体" w:cs="宋体"/>
          <w:spacing w:val="3"/>
          <w:sz w:val="21"/>
          <w:szCs w:val="21"/>
        </w:rPr>
        <w:t>组成的气体灭火剂，又称</w:t>
      </w:r>
      <w:r>
        <w:rPr>
          <w:rFonts w:ascii="Times New Roman" w:hAnsi="Times New Roman" w:eastAsia="Times New Roman" w:cs="Times New Roman"/>
          <w:sz w:val="21"/>
          <w:szCs w:val="21"/>
        </w:rPr>
        <w:t>IG</w:t>
      </w:r>
      <w:r>
        <w:rPr>
          <w:rFonts w:ascii="Times New Roman" w:hAnsi="Times New Roman" w:eastAsia="Times New Roman" w:cs="Times New Roman"/>
          <w:spacing w:val="3"/>
          <w:sz w:val="21"/>
          <w:szCs w:val="21"/>
        </w:rPr>
        <w:t>-100</w:t>
      </w:r>
      <w:r>
        <w:rPr>
          <w:rFonts w:ascii="宋体" w:hAnsi="宋体" w:eastAsia="宋体" w:cs="宋体"/>
          <w:spacing w:val="3"/>
          <w:sz w:val="21"/>
          <w:szCs w:val="21"/>
        </w:rPr>
        <w:t>。</w:t>
      </w:r>
    </w:p>
    <w:p>
      <w:pPr>
        <w:spacing w:before="95" w:line="214" w:lineRule="auto"/>
        <w:ind w:left="3"/>
        <w:rPr>
          <w:rFonts w:ascii="宋体" w:hAnsi="宋体" w:eastAsia="宋体" w:cs="宋体"/>
          <w:sz w:val="21"/>
          <w:szCs w:val="21"/>
        </w:rPr>
      </w:pPr>
      <w:r>
        <w:rPr>
          <w:rFonts w:ascii="宋体" w:hAnsi="宋体" w:eastAsia="宋体" w:cs="宋体"/>
          <w:b/>
          <w:bCs/>
          <w:spacing w:val="-10"/>
          <w:sz w:val="21"/>
          <w:szCs w:val="21"/>
        </w:rPr>
        <w:t>2.1.4</w:t>
      </w:r>
      <w:r>
        <w:rPr>
          <w:rFonts w:ascii="宋体" w:hAnsi="宋体" w:eastAsia="宋体" w:cs="宋体"/>
          <w:spacing w:val="-10"/>
          <w:sz w:val="21"/>
          <w:szCs w:val="21"/>
        </w:rPr>
        <w:t>氮气灭火系统nitrogenfireextingu</w:t>
      </w:r>
      <w:r>
        <w:rPr>
          <w:rFonts w:ascii="宋体" w:hAnsi="宋体" w:eastAsia="宋体" w:cs="宋体"/>
          <w:spacing w:val="-11"/>
          <w:sz w:val="21"/>
          <w:szCs w:val="21"/>
        </w:rPr>
        <w:t>ishingsystem</w:t>
      </w:r>
    </w:p>
    <w:p>
      <w:pPr>
        <w:spacing w:before="74" w:line="274" w:lineRule="auto"/>
        <w:ind w:right="34" w:firstLine="429"/>
        <w:jc w:val="both"/>
        <w:rPr>
          <w:rFonts w:ascii="宋体" w:hAnsi="宋体" w:eastAsia="宋体" w:cs="宋体"/>
          <w:sz w:val="21"/>
          <w:szCs w:val="21"/>
        </w:rPr>
      </w:pPr>
      <w:r>
        <w:rPr>
          <w:rFonts w:ascii="宋体" w:hAnsi="宋体" w:eastAsia="宋体" w:cs="宋体"/>
          <w:spacing w:val="-2"/>
          <w:sz w:val="21"/>
          <w:szCs w:val="21"/>
        </w:rPr>
        <w:t>按一定的应用条件进行设计计算，将氮气灭火剂从储存装置</w:t>
      </w:r>
      <w:r>
        <w:rPr>
          <w:rFonts w:ascii="宋体" w:hAnsi="宋体" w:eastAsia="宋体" w:cs="宋体"/>
          <w:spacing w:val="-1"/>
          <w:sz w:val="21"/>
          <w:szCs w:val="21"/>
        </w:rPr>
        <w:t>经由阀门、管道和喷嘴释放到防护区实施灭火的系统，又称</w:t>
      </w:r>
      <w:r>
        <w:rPr>
          <w:rFonts w:ascii="Times New Roman" w:hAnsi="Times New Roman" w:eastAsia="Times New Roman" w:cs="Times New Roman"/>
          <w:spacing w:val="-1"/>
          <w:sz w:val="21"/>
          <w:szCs w:val="21"/>
        </w:rPr>
        <w:t>IG-</w:t>
      </w:r>
      <w:r>
        <w:rPr>
          <w:rFonts w:ascii="宋体" w:hAnsi="宋体" w:eastAsia="宋体" w:cs="宋体"/>
          <w:spacing w:val="2"/>
          <w:sz w:val="21"/>
          <w:szCs w:val="21"/>
        </w:rPr>
        <w:t>100灭火系统。</w:t>
      </w:r>
    </w:p>
    <w:p>
      <w:pPr>
        <w:spacing w:before="15" w:line="219"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2.1.5</w:t>
      </w:r>
      <w:r>
        <w:rPr>
          <w:rFonts w:ascii="宋体" w:hAnsi="宋体" w:eastAsia="宋体" w:cs="宋体"/>
          <w:spacing w:val="-1"/>
          <w:sz w:val="21"/>
          <w:szCs w:val="21"/>
        </w:rPr>
        <w:t>探火管</w:t>
      </w:r>
      <w:r>
        <w:rPr>
          <w:rFonts w:ascii="Times New Roman" w:hAnsi="Times New Roman" w:eastAsia="Times New Roman" w:cs="Times New Roman"/>
          <w:spacing w:val="-1"/>
          <w:sz w:val="21"/>
          <w:szCs w:val="21"/>
        </w:rPr>
        <w:t>firedetectiontube</w:t>
      </w:r>
    </w:p>
    <w:p>
      <w:pPr>
        <w:spacing w:before="59" w:line="279" w:lineRule="auto"/>
        <w:ind w:right="32" w:firstLine="429"/>
        <w:rPr>
          <w:rFonts w:ascii="宋体" w:hAnsi="宋体" w:eastAsia="宋体" w:cs="宋体"/>
          <w:sz w:val="21"/>
          <w:szCs w:val="21"/>
        </w:rPr>
      </w:pPr>
      <w:r>
        <w:rPr>
          <w:rFonts w:ascii="宋体" w:hAnsi="宋体" w:eastAsia="宋体" w:cs="宋体"/>
          <w:spacing w:val="-2"/>
          <w:sz w:val="21"/>
          <w:szCs w:val="21"/>
        </w:rPr>
        <w:t>可自动探测火灾、传递火灾信息、启动灭火装置并能输送灭</w:t>
      </w:r>
      <w:r>
        <w:rPr>
          <w:rFonts w:ascii="宋体" w:hAnsi="宋体" w:eastAsia="宋体" w:cs="宋体"/>
          <w:spacing w:val="-4"/>
          <w:sz w:val="21"/>
          <w:szCs w:val="21"/>
        </w:rPr>
        <w:t>火剂的充压非金属软管。</w:t>
      </w:r>
    </w:p>
    <w:p>
      <w:pPr>
        <w:spacing w:before="1" w:line="286" w:lineRule="auto"/>
        <w:ind w:right="6" w:firstLine="3"/>
        <w:rPr>
          <w:rFonts w:ascii="Times New Roman" w:hAnsi="Times New Roman" w:eastAsia="Times New Roman" w:cs="Times New Roman"/>
          <w:sz w:val="21"/>
          <w:szCs w:val="21"/>
        </w:rPr>
      </w:pPr>
      <w:r>
        <w:rPr>
          <w:rFonts w:ascii="宋体" w:hAnsi="宋体" w:eastAsia="宋体" w:cs="宋体"/>
          <w:b/>
          <w:bCs/>
          <w:spacing w:val="-20"/>
          <w:sz w:val="21"/>
          <w:szCs w:val="21"/>
        </w:rPr>
        <w:t>2.1.6</w:t>
      </w:r>
      <w:r>
        <w:rPr>
          <w:rFonts w:ascii="宋体" w:hAnsi="宋体" w:eastAsia="宋体" w:cs="宋体"/>
          <w:spacing w:val="-19"/>
          <w:sz w:val="21"/>
          <w:szCs w:val="21"/>
        </w:rPr>
        <w:t>探火管灭火装置extinguishingequipmentwithfiredetectio</w:t>
      </w:r>
      <w:r>
        <w:rPr>
          <w:rFonts w:ascii="宋体" w:hAnsi="宋体" w:eastAsia="宋体" w:cs="宋体"/>
          <w:spacing w:val="-14"/>
          <w:sz w:val="21"/>
          <w:szCs w:val="21"/>
        </w:rPr>
        <w:t>n</w:t>
      </w:r>
      <w:r>
        <w:rPr>
          <w:rFonts w:ascii="Times New Roman" w:hAnsi="Times New Roman" w:eastAsia="Times New Roman" w:cs="Times New Roman"/>
          <w:spacing w:val="-1"/>
          <w:sz w:val="21"/>
          <w:szCs w:val="21"/>
        </w:rPr>
        <w:t>tube</w:t>
      </w:r>
    </w:p>
    <w:p>
      <w:pPr>
        <w:spacing w:before="22" w:line="219" w:lineRule="auto"/>
        <w:ind w:left="429"/>
        <w:rPr>
          <w:rFonts w:ascii="宋体" w:hAnsi="宋体" w:eastAsia="宋体" w:cs="宋体"/>
          <w:sz w:val="21"/>
          <w:szCs w:val="21"/>
        </w:rPr>
      </w:pPr>
      <w:r>
        <w:rPr>
          <w:rFonts w:ascii="宋体" w:hAnsi="宋体" w:eastAsia="宋体" w:cs="宋体"/>
          <w:spacing w:val="-2"/>
          <w:sz w:val="21"/>
          <w:szCs w:val="21"/>
        </w:rPr>
        <w:t>采用探火管探测火灾并能自动启动的预制灭火装置。</w:t>
      </w:r>
    </w:p>
    <w:p>
      <w:pPr>
        <w:spacing w:line="219" w:lineRule="auto"/>
        <w:rPr>
          <w:rFonts w:ascii="宋体" w:hAnsi="宋体" w:eastAsia="宋体" w:cs="宋体"/>
          <w:sz w:val="21"/>
          <w:szCs w:val="21"/>
        </w:rPr>
        <w:sectPr>
          <w:footerReference r:id="rId14" w:type="default"/>
          <w:pgSz w:w="8280" w:h="11850"/>
          <w:pgMar w:top="1007" w:right="1208" w:bottom="1380" w:left="1190" w:header="0" w:footer="1106" w:gutter="0"/>
          <w:cols w:space="720" w:num="1"/>
        </w:sectPr>
      </w:pPr>
    </w:p>
    <w:p>
      <w:pPr>
        <w:pStyle w:val="2"/>
        <w:spacing w:line="325" w:lineRule="auto"/>
      </w:pPr>
    </w:p>
    <w:p>
      <w:pPr>
        <w:pStyle w:val="2"/>
        <w:spacing w:line="325" w:lineRule="auto"/>
      </w:pPr>
    </w:p>
    <w:p>
      <w:pPr>
        <w:spacing w:before="65" w:line="222" w:lineRule="auto"/>
        <w:ind w:left="2238"/>
        <w:outlineLvl w:val="1"/>
        <w:rPr>
          <w:rFonts w:ascii="黑体" w:hAnsi="黑体" w:eastAsia="黑体" w:cs="黑体"/>
          <w:sz w:val="20"/>
          <w:szCs w:val="20"/>
        </w:rPr>
      </w:pPr>
      <w:bookmarkStart w:id="4" w:name="bookmark4"/>
      <w:bookmarkEnd w:id="4"/>
      <w:r>
        <w:rPr>
          <w:rFonts w:ascii="黑体" w:hAnsi="黑体" w:eastAsia="黑体" w:cs="黑体"/>
          <w:spacing w:val="-3"/>
          <w:sz w:val="20"/>
          <w:szCs w:val="20"/>
        </w:rPr>
        <w:t>2.2符号</w:t>
      </w:r>
    </w:p>
    <w:p>
      <w:pPr>
        <w:pStyle w:val="2"/>
        <w:spacing w:line="334" w:lineRule="auto"/>
      </w:pPr>
    </w:p>
    <w:p>
      <w:pPr>
        <w:spacing w:before="65" w:line="220" w:lineRule="auto"/>
        <w:ind w:left="327"/>
        <w:rPr>
          <w:rFonts w:ascii="宋体" w:hAnsi="宋体" w:eastAsia="宋体" w:cs="宋体"/>
          <w:sz w:val="20"/>
          <w:szCs w:val="20"/>
        </w:rPr>
      </w:pPr>
      <w:r>
        <w:rPr>
          <w:rFonts w:ascii="Times New Roman" w:hAnsi="Times New Roman" w:eastAsia="Times New Roman" w:cs="Times New Roman"/>
          <w:sz w:val="20"/>
          <w:szCs w:val="20"/>
        </w:rPr>
        <w:t>Ax</w:t>
      </w:r>
      <w:r>
        <w:rPr>
          <w:rFonts w:ascii="Times New Roman" w:hAnsi="Times New Roman" w:eastAsia="Times New Roman" w:cs="Times New Roman"/>
          <w:spacing w:val="6"/>
          <w:sz w:val="20"/>
          <w:szCs w:val="20"/>
        </w:rPr>
        <w:t>——</w:t>
      </w:r>
      <w:r>
        <w:rPr>
          <w:rFonts w:ascii="宋体" w:hAnsi="宋体" w:eastAsia="宋体" w:cs="宋体"/>
          <w:spacing w:val="6"/>
          <w:sz w:val="20"/>
          <w:szCs w:val="20"/>
        </w:rPr>
        <w:t>泄压口面积；</w:t>
      </w:r>
    </w:p>
    <w:p>
      <w:pPr>
        <w:spacing w:before="79" w:line="219" w:lineRule="auto"/>
        <w:ind w:left="398"/>
        <w:rPr>
          <w:rFonts w:ascii="宋体" w:hAnsi="宋体" w:eastAsia="宋体" w:cs="宋体"/>
          <w:sz w:val="20"/>
          <w:szCs w:val="20"/>
        </w:rPr>
      </w:pPr>
      <w:r>
        <w:rPr>
          <w:rFonts w:ascii="宋体" w:hAnsi="宋体" w:eastAsia="宋体" w:cs="宋体"/>
          <w:spacing w:val="1"/>
          <w:sz w:val="20"/>
          <w:szCs w:val="20"/>
        </w:rPr>
        <w:t>C——灭火剂设计浓度；</w:t>
      </w:r>
    </w:p>
    <w:p>
      <w:pPr>
        <w:spacing w:before="62" w:line="296" w:lineRule="auto"/>
        <w:ind w:left="308" w:right="2977" w:firstLine="10"/>
        <w:rPr>
          <w:rFonts w:ascii="宋体" w:hAnsi="宋体" w:eastAsia="宋体" w:cs="宋体"/>
          <w:sz w:val="20"/>
          <w:szCs w:val="20"/>
        </w:rPr>
      </w:pPr>
      <w:r>
        <w:rPr>
          <w:rFonts w:ascii="Times New Roman" w:hAnsi="Times New Roman" w:eastAsia="Times New Roman" w:cs="Times New Roman"/>
          <w:sz w:val="20"/>
          <w:szCs w:val="20"/>
        </w:rPr>
        <w:t>Cp</w:t>
      </w:r>
      <w:r>
        <w:rPr>
          <w:rFonts w:ascii="Times New Roman" w:hAnsi="Times New Roman" w:eastAsia="Times New Roman" w:cs="Times New Roman"/>
          <w:spacing w:val="6"/>
          <w:sz w:val="20"/>
          <w:szCs w:val="20"/>
        </w:rPr>
        <w:t>——</w:t>
      </w:r>
      <w:r>
        <w:rPr>
          <w:rFonts w:ascii="宋体" w:hAnsi="宋体" w:eastAsia="宋体" w:cs="宋体"/>
          <w:spacing w:val="6"/>
          <w:sz w:val="20"/>
          <w:szCs w:val="20"/>
        </w:rPr>
        <w:t>干粉设计灭火浓度；</w:t>
      </w:r>
      <w:r>
        <w:rPr>
          <w:rFonts w:ascii="宋体" w:hAnsi="宋体" w:eastAsia="宋体" w:cs="宋体"/>
          <w:spacing w:val="7"/>
          <w:sz w:val="20"/>
          <w:szCs w:val="20"/>
        </w:rPr>
        <w:t>D</w:t>
      </w:r>
      <w:r>
        <w:rPr>
          <w:rFonts w:ascii="Microsoft Sans Serif" w:hAnsi="Microsoft Sans Serif" w:eastAsia="Microsoft Sans Serif" w:cs="Microsoft Sans Serif"/>
          <w:spacing w:val="7"/>
          <w:sz w:val="20"/>
          <w:szCs w:val="20"/>
        </w:rPr>
        <w:t>ₙ</w:t>
      </w:r>
      <w:r>
        <w:rPr>
          <w:rFonts w:ascii="宋体" w:hAnsi="宋体" w:eastAsia="宋体" w:cs="宋体"/>
          <w:spacing w:val="7"/>
          <w:sz w:val="20"/>
          <w:szCs w:val="20"/>
        </w:rPr>
        <w:t>—-配管的内径；</w:t>
      </w:r>
    </w:p>
    <w:p>
      <w:pPr>
        <w:spacing w:line="219" w:lineRule="auto"/>
        <w:ind w:left="358"/>
        <w:rPr>
          <w:rFonts w:ascii="宋体" w:hAnsi="宋体" w:eastAsia="宋体" w:cs="宋体"/>
          <w:sz w:val="20"/>
          <w:szCs w:val="20"/>
        </w:rPr>
      </w:pPr>
      <w:r>
        <w:rPr>
          <w:rFonts w:ascii="Times New Roman" w:hAnsi="Times New Roman" w:eastAsia="Times New Roman" w:cs="Times New Roman"/>
          <w:spacing w:val="1"/>
          <w:sz w:val="20"/>
          <w:szCs w:val="20"/>
        </w:rPr>
        <w:t>K——</w:t>
      </w:r>
      <w:r>
        <w:rPr>
          <w:rFonts w:ascii="宋体" w:hAnsi="宋体" w:eastAsia="宋体" w:cs="宋体"/>
          <w:spacing w:val="1"/>
          <w:sz w:val="20"/>
          <w:szCs w:val="20"/>
        </w:rPr>
        <w:t>喷头流量系数；</w:t>
      </w:r>
    </w:p>
    <w:p>
      <w:pPr>
        <w:spacing w:before="72" w:line="286" w:lineRule="auto"/>
        <w:ind w:left="317" w:right="2987" w:hanging="70"/>
        <w:rPr>
          <w:rFonts w:ascii="宋体" w:hAnsi="宋体" w:eastAsia="宋体" w:cs="宋体"/>
          <w:sz w:val="20"/>
          <w:szCs w:val="20"/>
        </w:rPr>
      </w:pPr>
      <w:r>
        <w:rPr>
          <w:rFonts w:ascii="Times New Roman" w:hAnsi="Times New Roman" w:eastAsia="Times New Roman" w:cs="Times New Roman"/>
          <w:sz w:val="20"/>
          <w:szCs w:val="20"/>
        </w:rPr>
        <w:t>KH</w:t>
      </w:r>
      <w:r>
        <w:rPr>
          <w:rFonts w:ascii="Times New Roman" w:hAnsi="Times New Roman" w:eastAsia="Times New Roman" w:cs="Times New Roman"/>
          <w:spacing w:val="6"/>
          <w:sz w:val="20"/>
          <w:szCs w:val="20"/>
        </w:rPr>
        <w:t>——</w:t>
      </w:r>
      <w:r>
        <w:rPr>
          <w:rFonts w:ascii="宋体" w:hAnsi="宋体" w:eastAsia="宋体" w:cs="宋体"/>
          <w:spacing w:val="6"/>
          <w:sz w:val="20"/>
          <w:szCs w:val="20"/>
        </w:rPr>
        <w:t>海拔高度修正系数；</w:t>
      </w:r>
      <w:r>
        <w:rPr>
          <w:rFonts w:ascii="宋体" w:hAnsi="宋体" w:eastAsia="宋体" w:cs="宋体"/>
          <w:spacing w:val="7"/>
          <w:sz w:val="20"/>
          <w:szCs w:val="20"/>
        </w:rPr>
        <w:t>L——配管的长度；</w:t>
      </w:r>
    </w:p>
    <w:p>
      <w:pPr>
        <w:spacing w:before="1" w:line="218" w:lineRule="auto"/>
        <w:ind w:left="348"/>
        <w:rPr>
          <w:rFonts w:ascii="宋体" w:hAnsi="宋体" w:eastAsia="宋体" w:cs="宋体"/>
          <w:sz w:val="20"/>
          <w:szCs w:val="20"/>
        </w:rPr>
      </w:pPr>
      <w:r>
        <w:rPr>
          <w:rFonts w:ascii="Times New Roman" w:hAnsi="Times New Roman" w:eastAsia="Times New Roman" w:cs="Times New Roman"/>
          <w:spacing w:val="2"/>
          <w:sz w:val="20"/>
          <w:szCs w:val="20"/>
        </w:rPr>
        <w:t>M——</w:t>
      </w:r>
      <w:r>
        <w:rPr>
          <w:rFonts w:ascii="宋体" w:hAnsi="宋体" w:eastAsia="宋体" w:cs="宋体"/>
          <w:spacing w:val="2"/>
          <w:sz w:val="20"/>
          <w:szCs w:val="20"/>
        </w:rPr>
        <w:t>灭火剂设计总量；</w:t>
      </w:r>
    </w:p>
    <w:p>
      <w:pPr>
        <w:spacing w:before="83" w:line="219" w:lineRule="auto"/>
        <w:ind w:left="247"/>
        <w:rPr>
          <w:rFonts w:ascii="宋体" w:hAnsi="宋体" w:eastAsia="宋体" w:cs="宋体"/>
          <w:sz w:val="20"/>
          <w:szCs w:val="20"/>
        </w:rPr>
      </w:pPr>
      <w:r>
        <w:rPr>
          <w:rFonts w:ascii="宋体" w:hAnsi="宋体" w:eastAsia="宋体" w:cs="宋体"/>
          <w:sz w:val="20"/>
          <w:szCs w:val="20"/>
        </w:rPr>
        <w:t>MA</w:t>
      </w:r>
      <w:r>
        <w:rPr>
          <w:rFonts w:ascii="宋体" w:hAnsi="宋体" w:eastAsia="宋体" w:cs="宋体"/>
          <w:spacing w:val="13"/>
          <w:sz w:val="20"/>
          <w:szCs w:val="20"/>
        </w:rPr>
        <w:t>——灭火剂设计基本用量；</w:t>
      </w:r>
    </w:p>
    <w:p>
      <w:pPr>
        <w:spacing w:before="72" w:line="219" w:lineRule="auto"/>
        <w:ind w:left="247"/>
        <w:rPr>
          <w:rFonts w:ascii="宋体" w:hAnsi="宋体" w:eastAsia="宋体" w:cs="宋体"/>
          <w:sz w:val="20"/>
          <w:szCs w:val="20"/>
        </w:rPr>
      </w:pPr>
      <w:r>
        <w:rPr>
          <w:rFonts w:ascii="宋体" w:hAnsi="宋体" w:eastAsia="宋体" w:cs="宋体"/>
          <w:sz w:val="20"/>
          <w:szCs w:val="20"/>
        </w:rPr>
        <w:t>MB</w:t>
      </w:r>
      <w:r>
        <w:rPr>
          <w:rFonts w:ascii="宋体" w:hAnsi="宋体" w:eastAsia="宋体" w:cs="宋体"/>
          <w:spacing w:val="5"/>
          <w:sz w:val="20"/>
          <w:szCs w:val="20"/>
        </w:rPr>
        <w:t>——喷放后配管内灭火剂剩余量；</w:t>
      </w:r>
    </w:p>
    <w:p>
      <w:pPr>
        <w:spacing w:before="73" w:line="219" w:lineRule="auto"/>
        <w:ind w:left="247"/>
        <w:rPr>
          <w:rFonts w:ascii="宋体" w:hAnsi="宋体" w:eastAsia="宋体" w:cs="宋体"/>
          <w:sz w:val="20"/>
          <w:szCs w:val="20"/>
        </w:rPr>
      </w:pPr>
      <w:r>
        <w:rPr>
          <w:rFonts w:ascii="Times New Roman" w:hAnsi="Times New Roman" w:eastAsia="Times New Roman" w:cs="Times New Roman"/>
          <w:sz w:val="20"/>
          <w:szCs w:val="20"/>
        </w:rPr>
        <w:t>Mc</w:t>
      </w:r>
      <w:r>
        <w:rPr>
          <w:rFonts w:ascii="Times New Roman" w:hAnsi="Times New Roman" w:eastAsia="Times New Roman" w:cs="Times New Roman"/>
          <w:spacing w:val="3"/>
          <w:sz w:val="20"/>
          <w:szCs w:val="20"/>
        </w:rPr>
        <w:t>——</w:t>
      </w:r>
      <w:r>
        <w:rPr>
          <w:rFonts w:ascii="宋体" w:hAnsi="宋体" w:eastAsia="宋体" w:cs="宋体"/>
          <w:spacing w:val="3"/>
          <w:sz w:val="20"/>
          <w:szCs w:val="20"/>
        </w:rPr>
        <w:t>喷放后钢瓶内灭火剂剩余量；</w:t>
      </w:r>
    </w:p>
    <w:p>
      <w:pPr>
        <w:spacing w:before="69" w:line="278" w:lineRule="auto"/>
        <w:ind w:left="347" w:right="1317" w:hanging="110"/>
        <w:rPr>
          <w:rFonts w:ascii="宋体" w:hAnsi="宋体" w:eastAsia="宋体" w:cs="宋体"/>
          <w:sz w:val="20"/>
          <w:szCs w:val="20"/>
        </w:rPr>
      </w:pPr>
      <w:r>
        <w:rPr>
          <w:rFonts w:ascii="宋体" w:hAnsi="宋体" w:eastAsia="宋体" w:cs="宋体"/>
          <w:sz w:val="20"/>
          <w:szCs w:val="20"/>
        </w:rPr>
        <w:t>Mp</w:t>
      </w:r>
      <w:r>
        <w:rPr>
          <w:rFonts w:ascii="宋体" w:hAnsi="宋体" w:eastAsia="宋体" w:cs="宋体"/>
          <w:spacing w:val="7"/>
          <w:sz w:val="20"/>
          <w:szCs w:val="20"/>
        </w:rPr>
        <w:t>——单具超细干粉自动灭火装置的充装量；</w:t>
      </w:r>
      <w:r>
        <w:rPr>
          <w:rFonts w:ascii="Times New Roman" w:hAnsi="Times New Roman" w:eastAsia="Times New Roman" w:cs="Times New Roman"/>
          <w:sz w:val="20"/>
          <w:szCs w:val="20"/>
        </w:rPr>
        <w:t>N——</w:t>
      </w:r>
      <w:r>
        <w:rPr>
          <w:rFonts w:ascii="宋体" w:hAnsi="宋体" w:eastAsia="宋体" w:cs="宋体"/>
          <w:sz w:val="20"/>
          <w:szCs w:val="20"/>
        </w:rPr>
        <w:t>喷头数量；</w:t>
      </w:r>
    </w:p>
    <w:p>
      <w:pPr>
        <w:spacing w:line="212" w:lineRule="auto"/>
        <w:ind w:left="258"/>
        <w:rPr>
          <w:rFonts w:ascii="宋体" w:hAnsi="宋体" w:eastAsia="宋体" w:cs="宋体"/>
          <w:sz w:val="20"/>
          <w:szCs w:val="20"/>
        </w:rPr>
      </w:pPr>
      <w:r>
        <w:rPr>
          <w:rFonts w:ascii="Times New Roman" w:hAnsi="Times New Roman" w:eastAsia="Times New Roman" w:cs="Times New Roman"/>
          <w:sz w:val="20"/>
          <w:szCs w:val="20"/>
        </w:rPr>
        <w:t>Np</w:t>
      </w:r>
      <w:r>
        <w:rPr>
          <w:rFonts w:ascii="Times New Roman" w:hAnsi="Times New Roman" w:eastAsia="Times New Roman" w:cs="Times New Roman"/>
          <w:spacing w:val="4"/>
          <w:sz w:val="20"/>
          <w:szCs w:val="20"/>
        </w:rPr>
        <w:t>——</w:t>
      </w:r>
      <w:r>
        <w:rPr>
          <w:rFonts w:ascii="宋体" w:hAnsi="宋体" w:eastAsia="宋体" w:cs="宋体"/>
          <w:spacing w:val="4"/>
          <w:sz w:val="20"/>
          <w:szCs w:val="20"/>
        </w:rPr>
        <w:t>超细干粉自动灭火装置的配置数量；</w:t>
      </w:r>
    </w:p>
    <w:p>
      <w:pPr>
        <w:spacing w:before="108" w:line="262" w:lineRule="auto"/>
        <w:ind w:left="367" w:right="1337" w:hanging="59"/>
        <w:rPr>
          <w:rFonts w:ascii="宋体" w:hAnsi="宋体" w:eastAsia="宋体" w:cs="宋体"/>
          <w:sz w:val="20"/>
          <w:szCs w:val="20"/>
        </w:rPr>
      </w:pPr>
      <w:r>
        <w:rPr>
          <w:rFonts w:ascii="宋体" w:hAnsi="宋体" w:eastAsia="宋体" w:cs="宋体"/>
          <w:sz w:val="20"/>
          <w:szCs w:val="20"/>
        </w:rPr>
        <w:t>Py</w:t>
      </w:r>
      <w:r>
        <w:rPr>
          <w:rFonts w:ascii="宋体" w:hAnsi="宋体" w:eastAsia="宋体" w:cs="宋体"/>
          <w:spacing w:val="7"/>
          <w:sz w:val="20"/>
          <w:szCs w:val="20"/>
        </w:rPr>
        <w:t>——防护区围护结构承受内压的允许压强；</w:t>
      </w:r>
      <w:r>
        <w:rPr>
          <w:rFonts w:ascii="Times New Roman" w:hAnsi="Times New Roman" w:eastAsia="Times New Roman" w:cs="Times New Roman"/>
          <w:spacing w:val="1"/>
          <w:sz w:val="20"/>
          <w:szCs w:val="20"/>
        </w:rPr>
        <w:t>Q——</w:t>
      </w:r>
      <w:r>
        <w:rPr>
          <w:rFonts w:ascii="宋体" w:hAnsi="宋体" w:eastAsia="宋体" w:cs="宋体"/>
          <w:spacing w:val="1"/>
          <w:sz w:val="20"/>
          <w:szCs w:val="20"/>
        </w:rPr>
        <w:t>喷射强度；</w:t>
      </w:r>
    </w:p>
    <w:p>
      <w:pPr>
        <w:spacing w:before="48" w:line="219" w:lineRule="auto"/>
        <w:ind w:left="318"/>
        <w:rPr>
          <w:rFonts w:ascii="宋体" w:hAnsi="宋体" w:eastAsia="宋体" w:cs="宋体"/>
          <w:sz w:val="20"/>
          <w:szCs w:val="20"/>
        </w:rPr>
      </w:pPr>
      <w:r>
        <w:rPr>
          <w:rFonts w:ascii="宋体" w:hAnsi="宋体" w:eastAsia="宋体" w:cs="宋体"/>
          <w:spacing w:val="3"/>
          <w:sz w:val="20"/>
          <w:szCs w:val="20"/>
        </w:rPr>
        <w:t>Q;——单个喷头的设计流量；</w:t>
      </w:r>
    </w:p>
    <w:p>
      <w:pPr>
        <w:spacing w:before="77" w:line="215" w:lineRule="auto"/>
        <w:ind w:left="297"/>
        <w:rPr>
          <w:rFonts w:ascii="宋体" w:hAnsi="宋体" w:eastAsia="宋体" w:cs="宋体"/>
          <w:sz w:val="20"/>
          <w:szCs w:val="20"/>
        </w:rPr>
      </w:pPr>
      <w:r>
        <w:rPr>
          <w:rFonts w:ascii="宋体" w:hAnsi="宋体" w:eastAsia="宋体" w:cs="宋体"/>
          <w:sz w:val="20"/>
          <w:szCs w:val="20"/>
        </w:rPr>
        <w:t>Qy</w:t>
      </w:r>
      <w:r>
        <w:rPr>
          <w:rFonts w:ascii="宋体" w:hAnsi="宋体" w:eastAsia="宋体" w:cs="宋体"/>
          <w:spacing w:val="3"/>
          <w:sz w:val="20"/>
          <w:szCs w:val="20"/>
        </w:rPr>
        <w:t>——防护区灭火剂的平均喷放速率；</w:t>
      </w:r>
    </w:p>
    <w:p>
      <w:pPr>
        <w:spacing w:before="73" w:line="220" w:lineRule="auto"/>
        <w:ind w:left="388"/>
        <w:rPr>
          <w:rFonts w:ascii="宋体" w:hAnsi="宋体" w:eastAsia="宋体" w:cs="宋体"/>
          <w:sz w:val="20"/>
          <w:szCs w:val="20"/>
        </w:rPr>
      </w:pPr>
      <w:r>
        <w:rPr>
          <w:rFonts w:ascii="Times New Roman" w:hAnsi="Times New Roman" w:eastAsia="Times New Roman" w:cs="Times New Roman"/>
          <w:spacing w:val="3"/>
          <w:sz w:val="20"/>
          <w:szCs w:val="20"/>
        </w:rPr>
        <w:t>S——</w:t>
      </w:r>
      <w:r>
        <w:rPr>
          <w:rFonts w:ascii="宋体" w:hAnsi="宋体" w:eastAsia="宋体" w:cs="宋体"/>
          <w:spacing w:val="3"/>
          <w:sz w:val="20"/>
          <w:szCs w:val="20"/>
        </w:rPr>
        <w:t>过热蒸汽比容；</w:t>
      </w:r>
    </w:p>
    <w:p>
      <w:pPr>
        <w:spacing w:before="60" w:line="219" w:lineRule="auto"/>
        <w:ind w:left="237"/>
        <w:rPr>
          <w:rFonts w:ascii="宋体" w:hAnsi="宋体" w:eastAsia="宋体" w:cs="宋体"/>
          <w:sz w:val="20"/>
          <w:szCs w:val="20"/>
        </w:rPr>
      </w:pPr>
      <w:r>
        <w:rPr>
          <w:rFonts w:ascii="宋体" w:hAnsi="宋体" w:eastAsia="宋体" w:cs="宋体"/>
          <w:spacing w:val="7"/>
          <w:sz w:val="20"/>
          <w:szCs w:val="20"/>
        </w:rPr>
        <w:t>S</w:t>
      </w:r>
      <w:r>
        <w:rPr>
          <w:rFonts w:ascii="Calibri" w:hAnsi="Calibri" w:eastAsia="Calibri" w:cs="Calibri"/>
          <w:spacing w:val="7"/>
          <w:sz w:val="20"/>
          <w:szCs w:val="20"/>
        </w:rPr>
        <w:t>₂</w:t>
      </w:r>
      <w:r>
        <w:rPr>
          <w:rFonts w:ascii="宋体" w:hAnsi="宋体" w:eastAsia="宋体" w:cs="宋体"/>
          <w:spacing w:val="7"/>
          <w:sz w:val="20"/>
          <w:szCs w:val="20"/>
        </w:rPr>
        <w:t>——20℃时灭火剂比容；</w:t>
      </w:r>
    </w:p>
    <w:p>
      <w:pPr>
        <w:spacing w:before="84" w:line="280" w:lineRule="auto"/>
        <w:ind w:left="427" w:right="2177" w:hanging="50"/>
        <w:rPr>
          <w:rFonts w:ascii="宋体" w:hAnsi="宋体" w:eastAsia="宋体" w:cs="宋体"/>
          <w:sz w:val="20"/>
          <w:szCs w:val="20"/>
        </w:rPr>
      </w:pPr>
      <w:r>
        <w:rPr>
          <w:rFonts w:ascii="Times New Roman" w:hAnsi="Times New Roman" w:eastAsia="Times New Roman" w:cs="Times New Roman"/>
          <w:spacing w:val="3"/>
          <w:sz w:val="20"/>
          <w:szCs w:val="20"/>
        </w:rPr>
        <w:t>T——</w:t>
      </w:r>
      <w:r>
        <w:rPr>
          <w:rFonts w:ascii="宋体" w:hAnsi="宋体" w:eastAsia="宋体" w:cs="宋体"/>
          <w:spacing w:val="3"/>
          <w:sz w:val="20"/>
          <w:szCs w:val="20"/>
        </w:rPr>
        <w:t>防护区内预期最低环境温度；</w:t>
      </w:r>
      <w:r>
        <w:rPr>
          <w:rFonts w:ascii="宋体" w:hAnsi="宋体" w:eastAsia="宋体" w:cs="宋体"/>
          <w:spacing w:val="4"/>
          <w:sz w:val="20"/>
          <w:szCs w:val="20"/>
        </w:rPr>
        <w:t>t——喷射时间；</w:t>
      </w:r>
    </w:p>
    <w:p>
      <w:pPr>
        <w:spacing w:before="14" w:line="220" w:lineRule="auto"/>
        <w:ind w:left="367"/>
        <w:rPr>
          <w:rFonts w:ascii="宋体" w:hAnsi="宋体" w:eastAsia="宋体" w:cs="宋体"/>
          <w:sz w:val="20"/>
          <w:szCs w:val="20"/>
        </w:rPr>
      </w:pPr>
      <w:r>
        <w:rPr>
          <w:rFonts w:ascii="Times New Roman" w:hAnsi="Times New Roman" w:eastAsia="Times New Roman" w:cs="Times New Roman"/>
          <w:spacing w:val="7"/>
          <w:sz w:val="20"/>
          <w:szCs w:val="20"/>
        </w:rPr>
        <w:t>V——</w:t>
      </w:r>
      <w:r>
        <w:rPr>
          <w:rFonts w:ascii="宋体" w:hAnsi="宋体" w:eastAsia="宋体" w:cs="宋体"/>
          <w:spacing w:val="7"/>
          <w:sz w:val="20"/>
          <w:szCs w:val="20"/>
        </w:rPr>
        <w:t>防护区净容积；</w:t>
      </w:r>
    </w:p>
    <w:p>
      <w:pPr>
        <w:spacing w:before="81" w:line="219" w:lineRule="auto"/>
        <w:ind w:left="287"/>
        <w:rPr>
          <w:rFonts w:ascii="宋体" w:hAnsi="宋体" w:eastAsia="宋体" w:cs="宋体"/>
          <w:sz w:val="20"/>
          <w:szCs w:val="20"/>
        </w:rPr>
      </w:pPr>
      <w:r>
        <w:rPr>
          <w:rFonts w:ascii="宋体" w:hAnsi="宋体" w:eastAsia="宋体" w:cs="宋体"/>
          <w:sz w:val="20"/>
          <w:szCs w:val="20"/>
        </w:rPr>
        <w:t>VL</w:t>
      </w:r>
      <w:r>
        <w:rPr>
          <w:rFonts w:ascii="宋体" w:hAnsi="宋体" w:eastAsia="宋体" w:cs="宋体"/>
          <w:spacing w:val="8"/>
          <w:sz w:val="20"/>
          <w:szCs w:val="20"/>
        </w:rPr>
        <w:t>——保护对象的计算体积。</w:t>
      </w:r>
    </w:p>
    <w:p>
      <w:pPr>
        <w:spacing w:line="219" w:lineRule="auto"/>
        <w:rPr>
          <w:rFonts w:ascii="宋体" w:hAnsi="宋体" w:eastAsia="宋体" w:cs="宋体"/>
          <w:sz w:val="20"/>
          <w:szCs w:val="20"/>
        </w:rPr>
        <w:sectPr>
          <w:footerReference r:id="rId15" w:type="default"/>
          <w:pgSz w:w="8280" w:h="11850"/>
          <w:pgMar w:top="1007" w:right="1242" w:bottom="1341" w:left="1242" w:header="0" w:footer="1082" w:gutter="0"/>
          <w:cols w:space="720" w:num="1"/>
        </w:sectPr>
      </w:pPr>
    </w:p>
    <w:p>
      <w:pPr>
        <w:pStyle w:val="2"/>
        <w:spacing w:line="298" w:lineRule="auto"/>
      </w:pPr>
    </w:p>
    <w:p>
      <w:pPr>
        <w:pStyle w:val="2"/>
        <w:spacing w:line="298" w:lineRule="auto"/>
      </w:pPr>
    </w:p>
    <w:p>
      <w:pPr>
        <w:pStyle w:val="2"/>
        <w:spacing w:line="299" w:lineRule="auto"/>
      </w:pPr>
    </w:p>
    <w:p>
      <w:pPr>
        <w:spacing w:before="87" w:line="222" w:lineRule="auto"/>
        <w:ind w:left="2123"/>
        <w:outlineLvl w:val="0"/>
        <w:rPr>
          <w:rFonts w:ascii="黑体" w:hAnsi="黑体" w:eastAsia="黑体" w:cs="黑体"/>
          <w:sz w:val="27"/>
          <w:szCs w:val="27"/>
        </w:rPr>
      </w:pPr>
      <w:bookmarkStart w:id="5" w:name="bookmark5"/>
      <w:bookmarkEnd w:id="5"/>
      <w:bookmarkStart w:id="6" w:name="bookmark76"/>
      <w:bookmarkEnd w:id="6"/>
      <w:r>
        <w:rPr>
          <w:rFonts w:ascii="宋体" w:hAnsi="宋体" w:eastAsia="宋体" w:cs="宋体"/>
          <w:b/>
          <w:bCs/>
          <w:spacing w:val="-1"/>
          <w:sz w:val="27"/>
          <w:szCs w:val="27"/>
        </w:rPr>
        <w:t>3</w:t>
      </w:r>
      <w:r>
        <w:rPr>
          <w:rFonts w:ascii="黑体" w:hAnsi="黑体" w:eastAsia="黑体" w:cs="黑体"/>
          <w:b/>
          <w:bCs/>
          <w:spacing w:val="-1"/>
          <w:sz w:val="27"/>
          <w:szCs w:val="27"/>
        </w:rPr>
        <w:t>设置范围</w:t>
      </w:r>
    </w:p>
    <w:p>
      <w:pPr>
        <w:pStyle w:val="2"/>
        <w:spacing w:line="291" w:lineRule="auto"/>
      </w:pPr>
    </w:p>
    <w:p>
      <w:pPr>
        <w:pStyle w:val="2"/>
        <w:spacing w:line="292" w:lineRule="auto"/>
      </w:pPr>
    </w:p>
    <w:p>
      <w:pPr>
        <w:spacing w:before="68" w:line="219" w:lineRule="auto"/>
        <w:ind w:left="1913"/>
        <w:outlineLvl w:val="1"/>
        <w:rPr>
          <w:rFonts w:ascii="宋体" w:hAnsi="宋体" w:eastAsia="宋体" w:cs="宋体"/>
          <w:sz w:val="21"/>
          <w:szCs w:val="21"/>
        </w:rPr>
      </w:pPr>
      <w:bookmarkStart w:id="7" w:name="bookmark6"/>
      <w:bookmarkEnd w:id="7"/>
      <w:r>
        <w:rPr>
          <w:rFonts w:ascii="宋体" w:hAnsi="宋体" w:eastAsia="宋体" w:cs="宋体"/>
          <w:b/>
          <w:bCs/>
          <w:spacing w:val="-4"/>
          <w:sz w:val="21"/>
          <w:szCs w:val="21"/>
        </w:rPr>
        <w:t>3.1消火栓给水系统</w:t>
      </w:r>
    </w:p>
    <w:p>
      <w:pPr>
        <w:pStyle w:val="2"/>
        <w:spacing w:line="313" w:lineRule="auto"/>
      </w:pPr>
    </w:p>
    <w:p>
      <w:pPr>
        <w:spacing w:before="69" w:line="219" w:lineRule="auto"/>
        <w:ind w:left="3"/>
        <w:rPr>
          <w:rFonts w:ascii="宋体" w:hAnsi="宋体" w:eastAsia="宋体" w:cs="宋体"/>
          <w:sz w:val="21"/>
          <w:szCs w:val="21"/>
        </w:rPr>
      </w:pPr>
      <w:r>
        <w:rPr>
          <w:rFonts w:ascii="宋体" w:hAnsi="宋体" w:eastAsia="宋体" w:cs="宋体"/>
          <w:b/>
          <w:bCs/>
          <w:spacing w:val="-3"/>
          <w:sz w:val="21"/>
          <w:szCs w:val="21"/>
        </w:rPr>
        <w:t>3.1.1</w:t>
      </w:r>
      <w:r>
        <w:rPr>
          <w:rFonts w:ascii="宋体" w:hAnsi="宋体" w:eastAsia="宋体" w:cs="宋体"/>
          <w:spacing w:val="-3"/>
          <w:sz w:val="21"/>
          <w:szCs w:val="21"/>
        </w:rPr>
        <w:t>下列建筑或场所应设置室外消火栓系统：</w:t>
      </w:r>
    </w:p>
    <w:p>
      <w:pPr>
        <w:spacing w:before="70" w:line="219" w:lineRule="auto"/>
        <w:ind w:left="423"/>
        <w:rPr>
          <w:rFonts w:ascii="宋体" w:hAnsi="宋体" w:eastAsia="宋体" w:cs="宋体"/>
          <w:sz w:val="21"/>
          <w:szCs w:val="21"/>
        </w:rPr>
      </w:pPr>
      <w:r>
        <w:rPr>
          <w:rFonts w:ascii="宋体" w:hAnsi="宋体" w:eastAsia="宋体" w:cs="宋体"/>
          <w:b/>
          <w:bCs/>
          <w:spacing w:val="4"/>
          <w:sz w:val="21"/>
          <w:szCs w:val="21"/>
        </w:rPr>
        <w:t>1</w:t>
      </w:r>
      <w:r>
        <w:rPr>
          <w:rFonts w:ascii="宋体" w:hAnsi="宋体" w:eastAsia="宋体" w:cs="宋体"/>
          <w:spacing w:val="4"/>
          <w:sz w:val="21"/>
          <w:szCs w:val="21"/>
        </w:rPr>
        <w:t>居住人数大于500人或建筑层数大于2层的居住区。</w:t>
      </w:r>
    </w:p>
    <w:p>
      <w:pPr>
        <w:spacing w:before="61" w:line="220" w:lineRule="auto"/>
        <w:ind w:left="423"/>
        <w:rPr>
          <w:rFonts w:ascii="宋体" w:hAnsi="宋体" w:eastAsia="宋体" w:cs="宋体"/>
          <w:sz w:val="21"/>
          <w:szCs w:val="21"/>
        </w:rPr>
      </w:pPr>
      <w:r>
        <w:rPr>
          <w:rFonts w:ascii="宋体" w:hAnsi="宋体" w:eastAsia="宋体" w:cs="宋体"/>
          <w:b/>
          <w:bCs/>
          <w:spacing w:val="2"/>
          <w:sz w:val="21"/>
          <w:szCs w:val="21"/>
        </w:rPr>
        <w:t>2</w:t>
      </w:r>
      <w:r>
        <w:rPr>
          <w:rFonts w:ascii="宋体" w:hAnsi="宋体" w:eastAsia="宋体" w:cs="宋体"/>
          <w:spacing w:val="2"/>
          <w:sz w:val="21"/>
          <w:szCs w:val="21"/>
        </w:rPr>
        <w:t>建筑占地面积大于300m²的民用建筑。</w:t>
      </w:r>
    </w:p>
    <w:p>
      <w:pPr>
        <w:spacing w:before="60" w:line="219" w:lineRule="auto"/>
        <w:ind w:left="423"/>
        <w:rPr>
          <w:rFonts w:ascii="宋体" w:hAnsi="宋体" w:eastAsia="宋体" w:cs="宋体"/>
          <w:sz w:val="21"/>
          <w:szCs w:val="21"/>
        </w:rPr>
      </w:pPr>
      <w:r>
        <w:rPr>
          <w:rFonts w:ascii="宋体" w:hAnsi="宋体" w:eastAsia="宋体" w:cs="宋体"/>
          <w:b/>
          <w:bCs/>
          <w:spacing w:val="-3"/>
          <w:sz w:val="21"/>
          <w:szCs w:val="21"/>
        </w:rPr>
        <w:t>3</w:t>
      </w:r>
      <w:r>
        <w:rPr>
          <w:rFonts w:ascii="宋体" w:hAnsi="宋体" w:eastAsia="宋体" w:cs="宋体"/>
          <w:spacing w:val="-3"/>
          <w:sz w:val="21"/>
          <w:szCs w:val="21"/>
        </w:rPr>
        <w:t>公共建筑。</w:t>
      </w:r>
    </w:p>
    <w:p>
      <w:pPr>
        <w:spacing w:before="61" w:line="219" w:lineRule="auto"/>
        <w:ind w:left="423"/>
        <w:rPr>
          <w:rFonts w:ascii="宋体" w:hAnsi="宋体" w:eastAsia="宋体" w:cs="宋体"/>
          <w:sz w:val="21"/>
          <w:szCs w:val="21"/>
        </w:rPr>
      </w:pPr>
      <w:r>
        <w:rPr>
          <w:rFonts w:ascii="宋体" w:hAnsi="宋体" w:eastAsia="宋体" w:cs="宋体"/>
          <w:b/>
          <w:bCs/>
          <w:spacing w:val="-19"/>
          <w:sz w:val="21"/>
          <w:szCs w:val="21"/>
        </w:rPr>
        <w:t>4</w:t>
      </w:r>
      <w:r>
        <w:rPr>
          <w:rFonts w:ascii="宋体" w:hAnsi="宋体" w:eastAsia="宋体" w:cs="宋体"/>
          <w:spacing w:val="-19"/>
          <w:sz w:val="21"/>
          <w:szCs w:val="21"/>
        </w:rPr>
        <w:t>汽车库、修车库、停车场。</w:t>
      </w:r>
    </w:p>
    <w:p>
      <w:pPr>
        <w:spacing w:before="60" w:line="219" w:lineRule="auto"/>
        <w:ind w:left="423"/>
        <w:rPr>
          <w:rFonts w:ascii="宋体" w:hAnsi="宋体" w:eastAsia="宋体" w:cs="宋体"/>
          <w:sz w:val="21"/>
          <w:szCs w:val="21"/>
        </w:rPr>
      </w:pPr>
      <w:r>
        <w:rPr>
          <w:rFonts w:ascii="宋体" w:hAnsi="宋体" w:eastAsia="宋体" w:cs="宋体"/>
          <w:b/>
          <w:bCs/>
          <w:spacing w:val="-3"/>
          <w:sz w:val="21"/>
          <w:szCs w:val="21"/>
        </w:rPr>
        <w:t>5</w:t>
      </w:r>
      <w:r>
        <w:rPr>
          <w:rFonts w:ascii="宋体" w:hAnsi="宋体" w:eastAsia="宋体" w:cs="宋体"/>
          <w:spacing w:val="-3"/>
          <w:sz w:val="21"/>
          <w:szCs w:val="21"/>
        </w:rPr>
        <w:t>用于消防救援和消防车停靠的场地。</w:t>
      </w:r>
    </w:p>
    <w:p>
      <w:pPr>
        <w:spacing w:before="71" w:line="219" w:lineRule="auto"/>
        <w:ind w:left="3"/>
        <w:rPr>
          <w:rFonts w:ascii="宋体" w:hAnsi="宋体" w:eastAsia="宋体" w:cs="宋体"/>
          <w:sz w:val="21"/>
          <w:szCs w:val="21"/>
        </w:rPr>
      </w:pPr>
      <w:r>
        <w:rPr>
          <w:rFonts w:ascii="宋体" w:hAnsi="宋体" w:eastAsia="宋体" w:cs="宋体"/>
          <w:b/>
          <w:bCs/>
          <w:spacing w:val="-3"/>
          <w:sz w:val="21"/>
          <w:szCs w:val="21"/>
        </w:rPr>
        <w:t>3.1.2</w:t>
      </w:r>
      <w:r>
        <w:rPr>
          <w:rFonts w:ascii="宋体" w:hAnsi="宋体" w:eastAsia="宋体" w:cs="宋体"/>
          <w:spacing w:val="-3"/>
          <w:sz w:val="21"/>
          <w:szCs w:val="21"/>
        </w:rPr>
        <w:t>下列建筑或场所应设置室内消火栓系统：</w:t>
      </w:r>
    </w:p>
    <w:p>
      <w:pPr>
        <w:spacing w:before="61" w:line="219" w:lineRule="auto"/>
        <w:ind w:left="423"/>
        <w:rPr>
          <w:rFonts w:ascii="宋体" w:hAnsi="宋体" w:eastAsia="宋体" w:cs="宋体"/>
          <w:sz w:val="21"/>
          <w:szCs w:val="21"/>
        </w:rPr>
      </w:pPr>
      <w:r>
        <w:rPr>
          <w:rFonts w:ascii="宋体" w:hAnsi="宋体" w:eastAsia="宋体" w:cs="宋体"/>
          <w:b/>
          <w:bCs/>
          <w:spacing w:val="-4"/>
          <w:sz w:val="21"/>
          <w:szCs w:val="21"/>
        </w:rPr>
        <w:t>1</w:t>
      </w:r>
      <w:r>
        <w:rPr>
          <w:rFonts w:ascii="宋体" w:hAnsi="宋体" w:eastAsia="宋体" w:cs="宋体"/>
          <w:spacing w:val="-4"/>
          <w:sz w:val="21"/>
          <w:szCs w:val="21"/>
        </w:rPr>
        <w:t>高层公共建筑，建筑高度大于21m的住宅建筑。</w:t>
      </w:r>
    </w:p>
    <w:p>
      <w:pPr>
        <w:spacing w:before="62" w:line="254" w:lineRule="auto"/>
        <w:ind w:firstLine="423"/>
        <w:rPr>
          <w:rFonts w:ascii="宋体" w:hAnsi="宋体" w:eastAsia="宋体" w:cs="宋体"/>
          <w:sz w:val="21"/>
          <w:szCs w:val="21"/>
        </w:rPr>
      </w:pPr>
      <w:r>
        <w:rPr>
          <w:rFonts w:ascii="宋体" w:hAnsi="宋体" w:eastAsia="宋体" w:cs="宋体"/>
          <w:b/>
          <w:bCs/>
          <w:spacing w:val="-10"/>
          <w:sz w:val="21"/>
          <w:szCs w:val="21"/>
        </w:rPr>
        <w:t>2</w:t>
      </w:r>
      <w:r>
        <w:rPr>
          <w:rFonts w:ascii="宋体" w:hAnsi="宋体" w:eastAsia="宋体" w:cs="宋体"/>
          <w:spacing w:val="-10"/>
          <w:sz w:val="21"/>
          <w:szCs w:val="21"/>
        </w:rPr>
        <w:t>建筑体积大于5000m³的下列单、多层建筑</w:t>
      </w:r>
      <w:r>
        <w:rPr>
          <w:rFonts w:ascii="宋体" w:hAnsi="宋体" w:eastAsia="宋体" w:cs="宋体"/>
          <w:spacing w:val="-11"/>
          <w:sz w:val="21"/>
          <w:szCs w:val="21"/>
        </w:rPr>
        <w:t>：车站、码头、</w:t>
      </w:r>
      <w:r>
        <w:rPr>
          <w:rFonts w:ascii="宋体" w:hAnsi="宋体" w:eastAsia="宋体" w:cs="宋体"/>
          <w:spacing w:val="-17"/>
          <w:sz w:val="21"/>
          <w:szCs w:val="21"/>
        </w:rPr>
        <w:t>机场的候车(船、机)建筑，展览、商店、旅馆和医疗建筑，儿童活动</w:t>
      </w:r>
      <w:r>
        <w:rPr>
          <w:rFonts w:ascii="宋体" w:hAnsi="宋体" w:eastAsia="宋体" w:cs="宋体"/>
          <w:spacing w:val="-14"/>
          <w:sz w:val="21"/>
          <w:szCs w:val="21"/>
        </w:rPr>
        <w:t>场所，老年人照料设施和残疾人康复训练设施，档案馆，图书馆。</w:t>
      </w:r>
    </w:p>
    <w:p>
      <w:pPr>
        <w:spacing w:before="61" w:line="255" w:lineRule="auto"/>
        <w:ind w:right="76" w:firstLine="423"/>
        <w:rPr>
          <w:rFonts w:ascii="宋体" w:hAnsi="宋体" w:eastAsia="宋体" w:cs="宋体"/>
          <w:sz w:val="21"/>
          <w:szCs w:val="21"/>
        </w:rPr>
      </w:pPr>
      <w:r>
        <w:rPr>
          <w:rFonts w:ascii="宋体" w:hAnsi="宋体" w:eastAsia="宋体" w:cs="宋体"/>
          <w:b/>
          <w:bCs/>
          <w:spacing w:val="-4"/>
          <w:sz w:val="21"/>
          <w:szCs w:val="21"/>
        </w:rPr>
        <w:t>3</w:t>
      </w:r>
      <w:r>
        <w:rPr>
          <w:rFonts w:ascii="宋体" w:hAnsi="宋体" w:eastAsia="宋体" w:cs="宋体"/>
          <w:spacing w:val="-4"/>
          <w:sz w:val="21"/>
          <w:szCs w:val="21"/>
        </w:rPr>
        <w:t>特等和甲等剧场，座位数大于800个的乙等剧场，座位数</w:t>
      </w:r>
      <w:r>
        <w:rPr>
          <w:rFonts w:ascii="宋体" w:hAnsi="宋体" w:eastAsia="宋体" w:cs="宋体"/>
          <w:spacing w:val="3"/>
          <w:sz w:val="21"/>
          <w:szCs w:val="21"/>
        </w:rPr>
        <w:t>大于800个的电影院，座位数大于1200个的礼堂(报告厅),座位</w:t>
      </w:r>
      <w:r>
        <w:rPr>
          <w:rFonts w:ascii="宋体" w:hAnsi="宋体" w:eastAsia="宋体" w:cs="宋体"/>
          <w:spacing w:val="6"/>
          <w:sz w:val="21"/>
          <w:szCs w:val="21"/>
        </w:rPr>
        <w:t>数大于1200个的体育馆等建筑。</w:t>
      </w:r>
    </w:p>
    <w:p>
      <w:pPr>
        <w:spacing w:before="82" w:line="250" w:lineRule="auto"/>
        <w:ind w:right="110" w:firstLine="423"/>
        <w:rPr>
          <w:rFonts w:ascii="宋体" w:hAnsi="宋体" w:eastAsia="宋体" w:cs="宋体"/>
          <w:sz w:val="21"/>
          <w:szCs w:val="21"/>
        </w:rPr>
      </w:pPr>
      <w:r>
        <w:rPr>
          <w:rFonts w:ascii="宋体" w:hAnsi="宋体" w:eastAsia="宋体" w:cs="宋体"/>
          <w:b/>
          <w:bCs/>
          <w:spacing w:val="3"/>
          <w:sz w:val="21"/>
          <w:szCs w:val="21"/>
        </w:rPr>
        <w:t>4</w:t>
      </w:r>
      <w:r>
        <w:rPr>
          <w:rFonts w:ascii="宋体" w:hAnsi="宋体" w:eastAsia="宋体" w:cs="宋体"/>
          <w:spacing w:val="3"/>
          <w:sz w:val="21"/>
          <w:szCs w:val="21"/>
        </w:rPr>
        <w:t>建筑高度大于15m或建筑体积大于10000m³的办公建</w:t>
      </w:r>
      <w:r>
        <w:rPr>
          <w:rFonts w:ascii="宋体" w:hAnsi="宋体" w:eastAsia="宋体" w:cs="宋体"/>
          <w:spacing w:val="-15"/>
          <w:sz w:val="21"/>
          <w:szCs w:val="21"/>
        </w:rPr>
        <w:t>筑、教学建筑及其他单、多层民用建筑。</w:t>
      </w:r>
    </w:p>
    <w:p>
      <w:pPr>
        <w:spacing w:before="40" w:line="219" w:lineRule="auto"/>
        <w:ind w:left="423"/>
        <w:rPr>
          <w:rFonts w:ascii="宋体" w:hAnsi="宋体" w:eastAsia="宋体" w:cs="宋体"/>
          <w:sz w:val="21"/>
          <w:szCs w:val="21"/>
        </w:rPr>
      </w:pPr>
      <w:r>
        <w:rPr>
          <w:rFonts w:ascii="宋体" w:hAnsi="宋体" w:eastAsia="宋体" w:cs="宋体"/>
          <w:b/>
          <w:bCs/>
          <w:spacing w:val="1"/>
          <w:sz w:val="21"/>
          <w:szCs w:val="21"/>
        </w:rPr>
        <w:t>5</w:t>
      </w:r>
      <w:r>
        <w:rPr>
          <w:rFonts w:ascii="宋体" w:hAnsi="宋体" w:eastAsia="宋体" w:cs="宋体"/>
          <w:spacing w:val="1"/>
          <w:sz w:val="21"/>
          <w:szCs w:val="21"/>
        </w:rPr>
        <w:t>建筑面积大于300m²的汽车库和修车库。</w:t>
      </w:r>
    </w:p>
    <w:p>
      <w:pPr>
        <w:spacing w:before="101" w:line="219" w:lineRule="auto"/>
        <w:ind w:left="420"/>
        <w:rPr>
          <w:rFonts w:ascii="宋体" w:hAnsi="宋体" w:eastAsia="宋体" w:cs="宋体"/>
          <w:sz w:val="21"/>
          <w:szCs w:val="21"/>
        </w:rPr>
      </w:pPr>
      <w:r>
        <w:rPr>
          <w:rFonts w:ascii="Times New Roman" w:hAnsi="Times New Roman" w:eastAsia="Times New Roman" w:cs="Times New Roman"/>
          <w:b/>
          <w:bCs/>
          <w:spacing w:val="-2"/>
          <w:sz w:val="21"/>
          <w:szCs w:val="21"/>
        </w:rPr>
        <w:t>6</w:t>
      </w:r>
      <w:r>
        <w:rPr>
          <w:rFonts w:ascii="宋体" w:hAnsi="宋体" w:eastAsia="宋体" w:cs="宋体"/>
          <w:spacing w:val="-2"/>
          <w:sz w:val="21"/>
          <w:szCs w:val="21"/>
        </w:rPr>
        <w:t>建筑面积大于300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且平时使用的人民</w:t>
      </w:r>
      <w:r>
        <w:rPr>
          <w:rFonts w:ascii="宋体" w:hAnsi="宋体" w:eastAsia="宋体" w:cs="宋体"/>
          <w:spacing w:val="-3"/>
          <w:sz w:val="21"/>
          <w:szCs w:val="21"/>
        </w:rPr>
        <w:t>防空工程。</w:t>
      </w:r>
    </w:p>
    <w:p>
      <w:pPr>
        <w:spacing w:before="50" w:line="274" w:lineRule="auto"/>
        <w:ind w:right="35"/>
        <w:rPr>
          <w:rFonts w:ascii="宋体" w:hAnsi="宋体" w:eastAsia="宋体" w:cs="宋体"/>
          <w:sz w:val="17"/>
          <w:szCs w:val="17"/>
        </w:rPr>
      </w:pPr>
      <w:r>
        <w:rPr>
          <w:rFonts w:ascii="宋体" w:hAnsi="宋体" w:eastAsia="宋体" w:cs="宋体"/>
          <w:spacing w:val="12"/>
          <w:sz w:val="21"/>
          <w:szCs w:val="21"/>
        </w:rPr>
        <w:t>3.1.3近现代文物建筑和优秀历史建筑宜设置室内消火栓</w:t>
      </w:r>
      <w:r>
        <w:rPr>
          <w:rFonts w:ascii="宋体" w:hAnsi="宋体" w:eastAsia="宋体" w:cs="宋体"/>
          <w:spacing w:val="-7"/>
          <w:sz w:val="17"/>
          <w:szCs w:val="17"/>
        </w:rPr>
        <w:t>系统。</w:t>
      </w:r>
    </w:p>
    <w:p>
      <w:pPr>
        <w:spacing w:before="77" w:line="219" w:lineRule="auto"/>
        <w:rPr>
          <w:rFonts w:ascii="宋体" w:hAnsi="宋体" w:eastAsia="宋体" w:cs="宋体"/>
          <w:sz w:val="21"/>
          <w:szCs w:val="21"/>
        </w:rPr>
      </w:pPr>
      <w:r>
        <w:rPr>
          <w:rFonts w:ascii="宋体" w:hAnsi="宋体" w:eastAsia="宋体" w:cs="宋体"/>
          <w:spacing w:val="-3"/>
          <w:sz w:val="21"/>
          <w:szCs w:val="21"/>
        </w:rPr>
        <w:t>3.1.4下列建筑或场所应设置消防软管卷盘或轻便消防水龙：</w:t>
      </w:r>
    </w:p>
    <w:p>
      <w:pPr>
        <w:spacing w:before="51" w:line="219" w:lineRule="auto"/>
        <w:ind w:left="420"/>
        <w:rPr>
          <w:rFonts w:ascii="宋体" w:hAnsi="宋体" w:eastAsia="宋体" w:cs="宋体"/>
          <w:sz w:val="21"/>
          <w:szCs w:val="21"/>
        </w:rPr>
      </w:pPr>
      <w:r>
        <w:rPr>
          <w:rFonts w:ascii="宋体" w:hAnsi="宋体" w:eastAsia="宋体" w:cs="宋体"/>
          <w:spacing w:val="-5"/>
          <w:sz w:val="21"/>
          <w:szCs w:val="21"/>
        </w:rPr>
        <w:t>1人员密集的公共建筑。</w:t>
      </w:r>
    </w:p>
    <w:p>
      <w:pPr>
        <w:spacing w:line="219" w:lineRule="auto"/>
        <w:rPr>
          <w:rFonts w:ascii="宋体" w:hAnsi="宋体" w:eastAsia="宋体" w:cs="宋体"/>
          <w:sz w:val="21"/>
          <w:szCs w:val="21"/>
        </w:rPr>
        <w:sectPr>
          <w:footerReference r:id="rId16" w:type="default"/>
          <w:pgSz w:w="8280" w:h="11850"/>
          <w:pgMar w:top="1007" w:right="1185" w:bottom="1340" w:left="1229" w:header="0" w:footer="1066" w:gutter="0"/>
          <w:cols w:space="720" w:num="1"/>
        </w:sectPr>
      </w:pPr>
    </w:p>
    <w:p>
      <w:pPr>
        <w:pStyle w:val="2"/>
        <w:spacing w:line="311" w:lineRule="auto"/>
      </w:pPr>
    </w:p>
    <w:p>
      <w:pPr>
        <w:spacing w:before="68" w:line="219" w:lineRule="auto"/>
        <w:ind w:left="420"/>
        <w:rPr>
          <w:rFonts w:ascii="宋体" w:hAnsi="宋体" w:eastAsia="宋体" w:cs="宋体"/>
          <w:sz w:val="21"/>
          <w:szCs w:val="21"/>
        </w:rPr>
      </w:pPr>
      <w:r>
        <w:rPr>
          <w:rFonts w:ascii="宋体" w:hAnsi="宋体" w:eastAsia="宋体" w:cs="宋体"/>
          <w:spacing w:val="5"/>
          <w:sz w:val="21"/>
          <w:szCs w:val="21"/>
        </w:rPr>
        <w:t>2建筑高度大于100m的民用建筑。</w:t>
      </w:r>
    </w:p>
    <w:p>
      <w:pPr>
        <w:spacing w:before="69" w:line="255" w:lineRule="auto"/>
        <w:ind w:right="96" w:firstLine="420"/>
        <w:rPr>
          <w:rFonts w:ascii="宋体" w:hAnsi="宋体" w:eastAsia="宋体" w:cs="宋体"/>
          <w:sz w:val="21"/>
          <w:szCs w:val="21"/>
        </w:rPr>
      </w:pPr>
      <w:r>
        <w:rPr>
          <w:rFonts w:ascii="宋体" w:hAnsi="宋体" w:eastAsia="宋体" w:cs="宋体"/>
          <w:spacing w:val="-4"/>
          <w:sz w:val="21"/>
          <w:szCs w:val="21"/>
        </w:rPr>
        <w:t>3一类高层民用建筑的商业楼、展览楼、综合楼、住宅建筑公共部位。</w:t>
      </w:r>
    </w:p>
    <w:p>
      <w:pPr>
        <w:spacing w:before="60" w:line="219" w:lineRule="auto"/>
        <w:ind w:left="420"/>
        <w:rPr>
          <w:rFonts w:ascii="宋体" w:hAnsi="宋体" w:eastAsia="宋体" w:cs="宋体"/>
          <w:sz w:val="21"/>
          <w:szCs w:val="21"/>
        </w:rPr>
      </w:pPr>
      <w:r>
        <w:rPr>
          <w:rFonts w:ascii="宋体" w:hAnsi="宋体" w:eastAsia="宋体" w:cs="宋体"/>
          <w:spacing w:val="-8"/>
          <w:sz w:val="21"/>
          <w:szCs w:val="21"/>
        </w:rPr>
        <w:t>4设有风管的空气调节系统的商场、旅馆、办公楼。</w:t>
      </w:r>
    </w:p>
    <w:p>
      <w:pPr>
        <w:spacing w:before="61" w:line="219" w:lineRule="auto"/>
        <w:ind w:left="420"/>
        <w:rPr>
          <w:rFonts w:ascii="宋体" w:hAnsi="宋体" w:eastAsia="宋体" w:cs="宋体"/>
          <w:sz w:val="21"/>
          <w:szCs w:val="21"/>
        </w:rPr>
      </w:pPr>
      <w:r>
        <w:rPr>
          <w:rFonts w:ascii="宋体" w:hAnsi="宋体" w:eastAsia="宋体" w:cs="宋体"/>
          <w:spacing w:val="-7"/>
          <w:sz w:val="21"/>
          <w:szCs w:val="21"/>
        </w:rPr>
        <w:t>5儿童活动场所、老年人照料设施、残疾人康复训练设施。</w:t>
      </w:r>
    </w:p>
    <w:p>
      <w:pPr>
        <w:spacing w:before="61" w:line="219" w:lineRule="auto"/>
        <w:ind w:left="420"/>
        <w:rPr>
          <w:rFonts w:ascii="宋体" w:hAnsi="宋体" w:eastAsia="宋体" w:cs="宋体"/>
          <w:sz w:val="21"/>
          <w:szCs w:val="21"/>
        </w:rPr>
      </w:pPr>
      <w:r>
        <w:rPr>
          <w:rFonts w:ascii="Times New Roman" w:hAnsi="Times New Roman" w:eastAsia="Times New Roman" w:cs="Times New Roman"/>
          <w:spacing w:val="5"/>
          <w:sz w:val="21"/>
          <w:szCs w:val="21"/>
        </w:rPr>
        <w:t>6</w:t>
      </w:r>
      <w:r>
        <w:rPr>
          <w:rFonts w:ascii="宋体" w:hAnsi="宋体" w:eastAsia="宋体" w:cs="宋体"/>
          <w:spacing w:val="5"/>
          <w:sz w:val="21"/>
          <w:szCs w:val="21"/>
        </w:rPr>
        <w:t>建筑面积大于200</w:t>
      </w:r>
      <w:r>
        <w:rPr>
          <w:rFonts w:ascii="Times New Roman" w:hAnsi="Times New Roman" w:eastAsia="Times New Roman" w:cs="Times New Roman"/>
          <w:spacing w:val="5"/>
          <w:sz w:val="21"/>
          <w:szCs w:val="21"/>
        </w:rPr>
        <w:t>m²</w:t>
      </w:r>
      <w:r>
        <w:rPr>
          <w:rFonts w:ascii="宋体" w:hAnsi="宋体" w:eastAsia="宋体" w:cs="宋体"/>
          <w:spacing w:val="5"/>
          <w:sz w:val="21"/>
          <w:szCs w:val="21"/>
        </w:rPr>
        <w:t>的商业服务网点。</w:t>
      </w:r>
    </w:p>
    <w:p>
      <w:pPr>
        <w:spacing w:before="59" w:line="219" w:lineRule="auto"/>
        <w:ind w:left="420"/>
        <w:rPr>
          <w:rFonts w:ascii="宋体" w:hAnsi="宋体" w:eastAsia="宋体" w:cs="宋体"/>
          <w:sz w:val="21"/>
          <w:szCs w:val="21"/>
        </w:rPr>
      </w:pPr>
      <w:r>
        <w:rPr>
          <w:rFonts w:ascii="宋体" w:hAnsi="宋体" w:eastAsia="宋体" w:cs="宋体"/>
          <w:spacing w:val="3"/>
          <w:sz w:val="21"/>
          <w:szCs w:val="21"/>
        </w:rPr>
        <w:t>7大于1500个座位的剧院、会堂的观众厅。</w:t>
      </w:r>
    </w:p>
    <w:p>
      <w:pPr>
        <w:spacing w:before="62" w:line="219" w:lineRule="auto"/>
        <w:ind w:left="420"/>
        <w:rPr>
          <w:rFonts w:ascii="宋体" w:hAnsi="宋体" w:eastAsia="宋体" w:cs="宋体"/>
          <w:sz w:val="21"/>
          <w:szCs w:val="21"/>
        </w:rPr>
      </w:pPr>
      <w:r>
        <w:rPr>
          <w:rFonts w:ascii="宋体" w:hAnsi="宋体" w:eastAsia="宋体" w:cs="宋体"/>
          <w:spacing w:val="-2"/>
          <w:sz w:val="21"/>
          <w:szCs w:val="21"/>
        </w:rPr>
        <w:t>8建筑内部设置的检修马道。</w:t>
      </w:r>
    </w:p>
    <w:p>
      <w:pPr>
        <w:spacing w:before="61" w:line="219" w:lineRule="auto"/>
        <w:ind w:left="420"/>
        <w:rPr>
          <w:rFonts w:ascii="宋体" w:hAnsi="宋体" w:eastAsia="宋体" w:cs="宋体"/>
          <w:sz w:val="21"/>
          <w:szCs w:val="21"/>
        </w:rPr>
      </w:pPr>
      <w:r>
        <w:rPr>
          <w:rFonts w:ascii="宋体" w:hAnsi="宋体" w:eastAsia="宋体" w:cs="宋体"/>
          <w:sz w:val="21"/>
          <w:szCs w:val="21"/>
        </w:rPr>
        <w:t>9城市综合体。</w:t>
      </w:r>
    </w:p>
    <w:p>
      <w:pPr>
        <w:spacing w:before="111" w:line="219" w:lineRule="auto"/>
        <w:ind w:left="420"/>
        <w:rPr>
          <w:rFonts w:ascii="宋体" w:hAnsi="宋体" w:eastAsia="宋体" w:cs="宋体"/>
          <w:sz w:val="21"/>
          <w:szCs w:val="21"/>
        </w:rPr>
      </w:pPr>
      <w:r>
        <w:rPr>
          <w:rFonts w:ascii="宋体" w:hAnsi="宋体" w:eastAsia="宋体" w:cs="宋体"/>
          <w:spacing w:val="-3"/>
          <w:sz w:val="21"/>
          <w:szCs w:val="21"/>
        </w:rPr>
        <w:t>10文物建筑和优秀历史建筑。</w:t>
      </w:r>
    </w:p>
    <w:p>
      <w:pPr>
        <w:spacing w:before="72" w:line="220" w:lineRule="auto"/>
        <w:ind w:left="420"/>
        <w:rPr>
          <w:rFonts w:ascii="宋体" w:hAnsi="宋体" w:eastAsia="宋体" w:cs="宋体"/>
          <w:sz w:val="21"/>
          <w:szCs w:val="21"/>
        </w:rPr>
      </w:pPr>
      <w:r>
        <w:rPr>
          <w:rFonts w:ascii="宋体" w:hAnsi="宋体" w:eastAsia="宋体" w:cs="宋体"/>
          <w:spacing w:val="-4"/>
          <w:sz w:val="21"/>
          <w:szCs w:val="21"/>
        </w:rPr>
        <w:t>11展览建筑。</w:t>
      </w:r>
    </w:p>
    <w:p>
      <w:pPr>
        <w:spacing w:before="69" w:line="219" w:lineRule="auto"/>
        <w:ind w:left="420"/>
        <w:rPr>
          <w:rFonts w:ascii="宋体" w:hAnsi="宋体" w:eastAsia="宋体" w:cs="宋体"/>
          <w:sz w:val="21"/>
          <w:szCs w:val="21"/>
        </w:rPr>
      </w:pPr>
      <w:r>
        <w:rPr>
          <w:rFonts w:ascii="宋体" w:hAnsi="宋体" w:eastAsia="宋体" w:cs="宋体"/>
          <w:spacing w:val="-5"/>
          <w:sz w:val="21"/>
          <w:szCs w:val="21"/>
        </w:rPr>
        <w:t>12电动自行车停车库。</w:t>
      </w:r>
    </w:p>
    <w:p>
      <w:pPr>
        <w:spacing w:before="80" w:line="255" w:lineRule="auto"/>
        <w:ind w:right="97"/>
        <w:rPr>
          <w:rFonts w:ascii="宋体" w:hAnsi="宋体" w:eastAsia="宋体" w:cs="宋体"/>
          <w:sz w:val="21"/>
          <w:szCs w:val="21"/>
        </w:rPr>
      </w:pPr>
      <w:r>
        <w:rPr>
          <w:rFonts w:ascii="Times New Roman" w:hAnsi="Times New Roman" w:eastAsia="Times New Roman" w:cs="Times New Roman"/>
          <w:spacing w:val="2"/>
          <w:sz w:val="21"/>
          <w:szCs w:val="21"/>
        </w:rPr>
        <w:t>3.1.5</w:t>
      </w:r>
      <w:r>
        <w:rPr>
          <w:rFonts w:ascii="宋体" w:hAnsi="宋体" w:eastAsia="宋体" w:cs="宋体"/>
          <w:spacing w:val="2"/>
          <w:sz w:val="21"/>
          <w:szCs w:val="21"/>
        </w:rPr>
        <w:t>10层及以上或建筑高度超过27</w:t>
      </w:r>
      <w:r>
        <w:rPr>
          <w:rFonts w:ascii="Times New Roman" w:hAnsi="Times New Roman" w:eastAsia="Times New Roman" w:cs="Times New Roman"/>
          <w:spacing w:val="2"/>
          <w:sz w:val="21"/>
          <w:szCs w:val="21"/>
        </w:rPr>
        <w:t>m</w:t>
      </w:r>
      <w:r>
        <w:rPr>
          <w:rFonts w:ascii="宋体" w:hAnsi="宋体" w:eastAsia="宋体" w:cs="宋体"/>
          <w:spacing w:val="2"/>
          <w:sz w:val="21"/>
          <w:szCs w:val="21"/>
        </w:rPr>
        <w:t>的住宅建筑，户内生活</w:t>
      </w:r>
      <w:r>
        <w:rPr>
          <w:rFonts w:ascii="宋体" w:hAnsi="宋体" w:eastAsia="宋体" w:cs="宋体"/>
          <w:spacing w:val="-1"/>
          <w:sz w:val="21"/>
          <w:szCs w:val="21"/>
        </w:rPr>
        <w:t>给水管道上宜设轻便消防水龙，其他住宅建筑户内宜预留轻便消</w:t>
      </w:r>
      <w:r>
        <w:rPr>
          <w:rFonts w:ascii="宋体" w:hAnsi="宋体" w:eastAsia="宋体" w:cs="宋体"/>
          <w:spacing w:val="-3"/>
          <w:sz w:val="21"/>
          <w:szCs w:val="21"/>
        </w:rPr>
        <w:t>防水龙接口。</w:t>
      </w:r>
    </w:p>
    <w:p>
      <w:pPr>
        <w:spacing w:before="71" w:line="282" w:lineRule="auto"/>
        <w:ind w:right="93"/>
        <w:jc w:val="both"/>
        <w:rPr>
          <w:rFonts w:ascii="宋体" w:hAnsi="宋体" w:eastAsia="宋体" w:cs="宋体"/>
          <w:sz w:val="21"/>
          <w:szCs w:val="21"/>
        </w:rPr>
      </w:pPr>
      <w:r>
        <w:rPr>
          <w:rFonts w:ascii="Times New Roman" w:hAnsi="Times New Roman" w:eastAsia="Times New Roman" w:cs="Times New Roman"/>
          <w:spacing w:val="5"/>
          <w:sz w:val="21"/>
          <w:szCs w:val="21"/>
        </w:rPr>
        <w:t>3.1.6</w:t>
      </w:r>
      <w:r>
        <w:rPr>
          <w:rFonts w:ascii="宋体" w:hAnsi="宋体" w:eastAsia="宋体" w:cs="宋体"/>
          <w:spacing w:val="5"/>
          <w:sz w:val="21"/>
          <w:szCs w:val="21"/>
        </w:rPr>
        <w:t>建筑高度大于150</w:t>
      </w:r>
      <w:r>
        <w:rPr>
          <w:rFonts w:ascii="Times New Roman" w:hAnsi="Times New Roman" w:eastAsia="Times New Roman" w:cs="Times New Roman"/>
          <w:spacing w:val="5"/>
          <w:sz w:val="21"/>
          <w:szCs w:val="21"/>
        </w:rPr>
        <w:t>m</w:t>
      </w:r>
      <w:r>
        <w:rPr>
          <w:rFonts w:ascii="宋体" w:hAnsi="宋体" w:eastAsia="宋体" w:cs="宋体"/>
          <w:spacing w:val="5"/>
          <w:sz w:val="21"/>
          <w:szCs w:val="21"/>
        </w:rPr>
        <w:t>的公共建筑，其塔楼宜设置压缩空</w:t>
      </w:r>
      <w:r>
        <w:rPr>
          <w:rFonts w:ascii="宋体" w:hAnsi="宋体" w:eastAsia="宋体" w:cs="宋体"/>
          <w:spacing w:val="3"/>
          <w:sz w:val="21"/>
          <w:szCs w:val="21"/>
        </w:rPr>
        <w:t>气泡沫消火栓系统。建筑高度大于250</w:t>
      </w:r>
      <w:r>
        <w:rPr>
          <w:rFonts w:ascii="Times New Roman" w:hAnsi="Times New Roman" w:eastAsia="Times New Roman" w:cs="Times New Roman"/>
          <w:spacing w:val="3"/>
          <w:sz w:val="21"/>
          <w:szCs w:val="21"/>
        </w:rPr>
        <w:t>m</w:t>
      </w:r>
      <w:r>
        <w:rPr>
          <w:rFonts w:ascii="宋体" w:hAnsi="宋体" w:eastAsia="宋体" w:cs="宋体"/>
          <w:spacing w:val="3"/>
          <w:sz w:val="21"/>
          <w:szCs w:val="21"/>
        </w:rPr>
        <w:t>的公共建筑，其塔楼应</w:t>
      </w:r>
      <w:r>
        <w:rPr>
          <w:rFonts w:ascii="宋体" w:hAnsi="宋体" w:eastAsia="宋体" w:cs="宋体"/>
          <w:spacing w:val="-1"/>
          <w:sz w:val="21"/>
          <w:szCs w:val="21"/>
        </w:rPr>
        <w:t>设置压缩空气泡沫消火栓系统。</w:t>
      </w:r>
    </w:p>
    <w:p>
      <w:pPr>
        <w:spacing w:before="305" w:line="221" w:lineRule="auto"/>
        <w:ind w:left="1850"/>
        <w:outlineLvl w:val="1"/>
        <w:rPr>
          <w:rFonts w:ascii="黑体" w:hAnsi="黑体" w:eastAsia="黑体" w:cs="黑体"/>
          <w:sz w:val="21"/>
          <w:szCs w:val="21"/>
        </w:rPr>
      </w:pPr>
      <w:bookmarkStart w:id="8" w:name="bookmark7"/>
      <w:bookmarkEnd w:id="8"/>
      <w:r>
        <w:rPr>
          <w:rFonts w:ascii="宋体" w:hAnsi="宋体" w:eastAsia="宋体" w:cs="宋体"/>
          <w:spacing w:val="1"/>
          <w:sz w:val="21"/>
          <w:szCs w:val="21"/>
        </w:rPr>
        <w:t>3.2自</w:t>
      </w:r>
      <w:r>
        <w:rPr>
          <w:rFonts w:ascii="黑体" w:hAnsi="黑体" w:eastAsia="黑体" w:cs="黑体"/>
          <w:spacing w:val="1"/>
          <w:sz w:val="21"/>
          <w:szCs w:val="21"/>
        </w:rPr>
        <w:t>动喷水灭火系统</w:t>
      </w:r>
    </w:p>
    <w:p>
      <w:pPr>
        <w:pStyle w:val="2"/>
        <w:spacing w:line="309" w:lineRule="auto"/>
      </w:pPr>
    </w:p>
    <w:p>
      <w:pPr>
        <w:spacing w:before="69" w:line="277" w:lineRule="auto"/>
        <w:ind w:right="92"/>
        <w:rPr>
          <w:rFonts w:ascii="宋体" w:hAnsi="宋体" w:eastAsia="宋体" w:cs="宋体"/>
          <w:sz w:val="21"/>
          <w:szCs w:val="21"/>
        </w:rPr>
      </w:pPr>
      <w:r>
        <w:rPr>
          <w:rFonts w:ascii="宋体" w:hAnsi="宋体" w:eastAsia="宋体" w:cs="宋体"/>
          <w:spacing w:val="4"/>
          <w:sz w:val="21"/>
          <w:szCs w:val="21"/>
        </w:rPr>
        <w:t>3.2.1除本标准另有规定和不宜用水保护或</w:t>
      </w:r>
      <w:r>
        <w:rPr>
          <w:rFonts w:ascii="宋体" w:hAnsi="宋体" w:eastAsia="宋体" w:cs="宋体"/>
          <w:spacing w:val="3"/>
          <w:sz w:val="21"/>
          <w:szCs w:val="21"/>
        </w:rPr>
        <w:t>灭火的场所外，住</w:t>
      </w:r>
      <w:r>
        <w:rPr>
          <w:rFonts w:ascii="宋体" w:hAnsi="宋体" w:eastAsia="宋体" w:cs="宋体"/>
          <w:spacing w:val="-5"/>
          <w:sz w:val="21"/>
          <w:szCs w:val="21"/>
        </w:rPr>
        <w:t>宅建筑当符合下列情况之一时，应设置湿式系统：</w:t>
      </w:r>
    </w:p>
    <w:p>
      <w:pPr>
        <w:spacing w:before="1" w:line="250" w:lineRule="auto"/>
        <w:ind w:firstLine="420"/>
        <w:rPr>
          <w:rFonts w:ascii="宋体" w:hAnsi="宋体" w:eastAsia="宋体" w:cs="宋体"/>
          <w:sz w:val="21"/>
          <w:szCs w:val="21"/>
        </w:rPr>
      </w:pPr>
      <w:r>
        <w:rPr>
          <w:rFonts w:ascii="宋体" w:hAnsi="宋体" w:eastAsia="宋体" w:cs="宋体"/>
          <w:sz w:val="21"/>
          <w:szCs w:val="21"/>
        </w:rPr>
        <w:t>1当设有风管集中空调系统，风管穿越户与户之间隔墙</w:t>
      </w:r>
      <w:r>
        <w:rPr>
          <w:rFonts w:ascii="宋体" w:hAnsi="宋体" w:eastAsia="宋体" w:cs="宋体"/>
          <w:spacing w:val="-1"/>
          <w:sz w:val="21"/>
          <w:szCs w:val="21"/>
        </w:rPr>
        <w:t>时，住宅的所有部位。</w:t>
      </w:r>
    </w:p>
    <w:p>
      <w:pPr>
        <w:spacing w:before="71" w:line="219" w:lineRule="auto"/>
        <w:ind w:left="420"/>
        <w:rPr>
          <w:rFonts w:ascii="宋体" w:hAnsi="宋体" w:eastAsia="宋体" w:cs="宋体"/>
          <w:sz w:val="21"/>
          <w:szCs w:val="21"/>
        </w:rPr>
      </w:pPr>
      <w:r>
        <w:rPr>
          <w:rFonts w:ascii="宋体" w:hAnsi="宋体" w:eastAsia="宋体" w:cs="宋体"/>
          <w:spacing w:val="5"/>
          <w:sz w:val="21"/>
          <w:szCs w:val="21"/>
        </w:rPr>
        <w:t>2建筑高度100m及以上住宅建筑的所有部位。</w:t>
      </w:r>
    </w:p>
    <w:p>
      <w:pPr>
        <w:spacing w:before="61" w:line="250" w:lineRule="auto"/>
        <w:ind w:right="92" w:firstLine="420"/>
        <w:rPr>
          <w:rFonts w:ascii="宋体" w:hAnsi="宋体" w:eastAsia="宋体" w:cs="宋体"/>
          <w:sz w:val="21"/>
          <w:szCs w:val="21"/>
        </w:rPr>
      </w:pPr>
      <w:r>
        <w:rPr>
          <w:rFonts w:ascii="宋体" w:hAnsi="宋体" w:eastAsia="宋体" w:cs="宋体"/>
          <w:spacing w:val="13"/>
          <w:sz w:val="21"/>
          <w:szCs w:val="21"/>
        </w:rPr>
        <w:t>310层及以上或建筑高度超过27m且不超过100m的住</w:t>
      </w:r>
      <w:r>
        <w:rPr>
          <w:rFonts w:ascii="宋体" w:hAnsi="宋体" w:eastAsia="宋体" w:cs="宋体"/>
          <w:spacing w:val="-9"/>
          <w:sz w:val="21"/>
          <w:szCs w:val="21"/>
        </w:rPr>
        <w:t>宅建筑，其每层的公共部位。</w:t>
      </w:r>
    </w:p>
    <w:p>
      <w:pPr>
        <w:spacing w:before="71" w:line="219" w:lineRule="auto"/>
        <w:rPr>
          <w:rFonts w:ascii="宋体" w:hAnsi="宋体" w:eastAsia="宋体" w:cs="宋体"/>
          <w:sz w:val="21"/>
          <w:szCs w:val="21"/>
        </w:rPr>
      </w:pPr>
      <w:r>
        <w:rPr>
          <w:rFonts w:ascii="宋体" w:hAnsi="宋体" w:eastAsia="宋体" w:cs="宋体"/>
          <w:spacing w:val="4"/>
          <w:sz w:val="21"/>
          <w:szCs w:val="21"/>
        </w:rPr>
        <w:t>3.2.2老旧住宅消防改造时，宜在</w:t>
      </w:r>
      <w:r>
        <w:rPr>
          <w:rFonts w:ascii="宋体" w:hAnsi="宋体" w:eastAsia="宋体" w:cs="宋体"/>
          <w:spacing w:val="3"/>
          <w:sz w:val="21"/>
          <w:szCs w:val="21"/>
        </w:rPr>
        <w:t>公共部位增设自动喷水灭火</w:t>
      </w:r>
    </w:p>
    <w:p>
      <w:pPr>
        <w:spacing w:line="219" w:lineRule="auto"/>
        <w:rPr>
          <w:rFonts w:ascii="宋体" w:hAnsi="宋体" w:eastAsia="宋体" w:cs="宋体"/>
          <w:sz w:val="21"/>
          <w:szCs w:val="21"/>
        </w:rPr>
        <w:sectPr>
          <w:footerReference r:id="rId17" w:type="default"/>
          <w:pgSz w:w="8280" w:h="11850"/>
          <w:pgMar w:top="1007" w:right="1125" w:bottom="1240" w:left="1169" w:header="0" w:footer="967" w:gutter="0"/>
          <w:cols w:space="720" w:num="1"/>
        </w:sectPr>
      </w:pPr>
    </w:p>
    <w:p>
      <w:pPr>
        <w:pStyle w:val="2"/>
        <w:spacing w:line="241" w:lineRule="auto"/>
      </w:pPr>
    </w:p>
    <w:p>
      <w:pPr>
        <w:spacing w:before="69" w:line="219" w:lineRule="auto"/>
        <w:rPr>
          <w:rFonts w:ascii="宋体" w:hAnsi="宋体" w:eastAsia="宋体" w:cs="宋体"/>
          <w:sz w:val="21"/>
          <w:szCs w:val="21"/>
        </w:rPr>
      </w:pPr>
      <w:bookmarkStart w:id="9" w:name="bookmark77"/>
      <w:bookmarkEnd w:id="9"/>
      <w:r>
        <w:rPr>
          <w:rFonts w:ascii="宋体" w:hAnsi="宋体" w:eastAsia="宋体" w:cs="宋体"/>
          <w:spacing w:val="-13"/>
          <w:sz w:val="21"/>
          <w:szCs w:val="21"/>
        </w:rPr>
        <w:t>系统；确有困难的，可设置局部应用系统。</w:t>
      </w:r>
    </w:p>
    <w:p>
      <w:pPr>
        <w:spacing w:before="68" w:line="274" w:lineRule="auto"/>
        <w:jc w:val="both"/>
        <w:rPr>
          <w:rFonts w:ascii="宋体" w:hAnsi="宋体" w:eastAsia="宋体" w:cs="宋体"/>
          <w:sz w:val="21"/>
          <w:szCs w:val="21"/>
        </w:rPr>
      </w:pPr>
      <w:r>
        <w:rPr>
          <w:rFonts w:ascii="宋体" w:hAnsi="宋体" w:eastAsia="宋体" w:cs="宋体"/>
          <w:spacing w:val="2"/>
          <w:sz w:val="21"/>
          <w:szCs w:val="21"/>
        </w:rPr>
        <w:t>3.2.3除本标准另有规定和不宜用水保护或灭火的场所外，办</w:t>
      </w:r>
      <w:r>
        <w:rPr>
          <w:rFonts w:ascii="宋体" w:hAnsi="宋体" w:eastAsia="宋体" w:cs="宋体"/>
          <w:spacing w:val="-13"/>
          <w:sz w:val="21"/>
          <w:szCs w:val="21"/>
        </w:rPr>
        <w:t>公建筑、电信楼、财贸金融楼、广播电视楼、电力调度楼、邮政楼、</w:t>
      </w:r>
      <w:r>
        <w:rPr>
          <w:rFonts w:ascii="宋体" w:hAnsi="宋体" w:eastAsia="宋体" w:cs="宋体"/>
          <w:spacing w:val="-16"/>
          <w:sz w:val="21"/>
          <w:szCs w:val="21"/>
        </w:rPr>
        <w:t>防灾指挥调度楼、图书馆、书库、科研楼、档案楼、教学楼及类似功</w:t>
      </w:r>
      <w:r>
        <w:rPr>
          <w:rFonts w:ascii="宋体" w:hAnsi="宋体" w:eastAsia="宋体" w:cs="宋体"/>
          <w:spacing w:val="-10"/>
          <w:sz w:val="21"/>
          <w:szCs w:val="21"/>
        </w:rPr>
        <w:t>能建筑，当符合下列情况之一时，应设置湿式系统：</w:t>
      </w:r>
    </w:p>
    <w:p>
      <w:pPr>
        <w:spacing w:before="15" w:line="219" w:lineRule="auto"/>
        <w:ind w:left="443"/>
        <w:rPr>
          <w:rFonts w:ascii="宋体" w:hAnsi="宋体" w:eastAsia="宋体" w:cs="宋体"/>
          <w:sz w:val="21"/>
          <w:szCs w:val="21"/>
        </w:rPr>
      </w:pPr>
      <w:r>
        <w:rPr>
          <w:rFonts w:ascii="宋体" w:hAnsi="宋体" w:eastAsia="宋体" w:cs="宋体"/>
          <w:b/>
          <w:bCs/>
          <w:spacing w:val="-7"/>
          <w:sz w:val="21"/>
          <w:szCs w:val="21"/>
        </w:rPr>
        <w:t>1</w:t>
      </w:r>
      <w:r>
        <w:rPr>
          <w:rFonts w:ascii="宋体" w:hAnsi="宋体" w:eastAsia="宋体" w:cs="宋体"/>
          <w:spacing w:val="-7"/>
          <w:sz w:val="21"/>
          <w:szCs w:val="21"/>
        </w:rPr>
        <w:t>高层建筑。</w:t>
      </w:r>
    </w:p>
    <w:p>
      <w:pPr>
        <w:spacing w:before="69" w:line="242" w:lineRule="auto"/>
        <w:ind w:right="75" w:firstLine="443"/>
        <w:rPr>
          <w:rFonts w:ascii="宋体" w:hAnsi="宋体" w:eastAsia="宋体" w:cs="宋体"/>
          <w:sz w:val="21"/>
          <w:szCs w:val="21"/>
        </w:rPr>
      </w:pPr>
      <w:r>
        <w:rPr>
          <w:rFonts w:ascii="宋体" w:hAnsi="宋体" w:eastAsia="宋体" w:cs="宋体"/>
          <w:b/>
          <w:bCs/>
          <w:spacing w:val="2"/>
          <w:sz w:val="21"/>
          <w:szCs w:val="21"/>
        </w:rPr>
        <w:t>2</w:t>
      </w:r>
      <w:r>
        <w:rPr>
          <w:rFonts w:ascii="宋体" w:hAnsi="宋体" w:eastAsia="宋体" w:cs="宋体"/>
          <w:spacing w:val="2"/>
          <w:sz w:val="21"/>
          <w:szCs w:val="21"/>
        </w:rPr>
        <w:t>设置送回风道(管)的集中空气调节系</w:t>
      </w:r>
      <w:r>
        <w:rPr>
          <w:rFonts w:ascii="宋体" w:hAnsi="宋体" w:eastAsia="宋体" w:cs="宋体"/>
          <w:spacing w:val="1"/>
          <w:sz w:val="21"/>
          <w:szCs w:val="21"/>
        </w:rPr>
        <w:t>统且总建筑面积大于1000</w:t>
      </w:r>
      <w:r>
        <w:rPr>
          <w:rFonts w:ascii="Times New Roman" w:hAnsi="Times New Roman" w:eastAsia="Times New Roman" w:cs="Times New Roman"/>
          <w:spacing w:val="1"/>
          <w:sz w:val="21"/>
          <w:szCs w:val="21"/>
        </w:rPr>
        <w:t>m²</w:t>
      </w:r>
      <w:r>
        <w:rPr>
          <w:rFonts w:ascii="宋体" w:hAnsi="宋体" w:eastAsia="宋体" w:cs="宋体"/>
          <w:spacing w:val="1"/>
          <w:sz w:val="21"/>
          <w:szCs w:val="21"/>
        </w:rPr>
        <w:t>的单、多层建筑。</w:t>
      </w:r>
    </w:p>
    <w:p>
      <w:pPr>
        <w:spacing w:before="59" w:line="261" w:lineRule="auto"/>
        <w:ind w:firstLine="443"/>
        <w:rPr>
          <w:rFonts w:ascii="宋体" w:hAnsi="宋体" w:eastAsia="宋体" w:cs="宋体"/>
          <w:sz w:val="21"/>
          <w:szCs w:val="21"/>
        </w:rPr>
      </w:pPr>
      <w:r>
        <w:rPr>
          <w:rFonts w:ascii="宋体" w:hAnsi="宋体" w:eastAsia="宋体" w:cs="宋体"/>
          <w:b/>
          <w:bCs/>
          <w:spacing w:val="2"/>
          <w:sz w:val="21"/>
          <w:szCs w:val="21"/>
        </w:rPr>
        <w:t>3</w:t>
      </w:r>
      <w:r>
        <w:rPr>
          <w:rFonts w:ascii="宋体" w:hAnsi="宋体" w:eastAsia="宋体" w:cs="宋体"/>
          <w:spacing w:val="2"/>
          <w:sz w:val="21"/>
          <w:szCs w:val="21"/>
        </w:rPr>
        <w:t>邮政楼中建筑面积大于500m²的邮袋库、市级邮政楼的</w:t>
      </w:r>
      <w:r>
        <w:rPr>
          <w:rFonts w:ascii="宋体" w:hAnsi="宋体" w:eastAsia="宋体" w:cs="宋体"/>
          <w:spacing w:val="1"/>
          <w:sz w:val="21"/>
          <w:szCs w:val="21"/>
        </w:rPr>
        <w:t>信函和包裹分检间及邮袋库；建筑面积大于500</w:t>
      </w:r>
      <w:r>
        <w:rPr>
          <w:rFonts w:ascii="Times New Roman" w:hAnsi="Times New Roman" w:eastAsia="Times New Roman" w:cs="Times New Roman"/>
          <w:spacing w:val="1"/>
          <w:sz w:val="21"/>
          <w:szCs w:val="21"/>
        </w:rPr>
        <w:t>m²</w:t>
      </w:r>
      <w:r>
        <w:rPr>
          <w:rFonts w:ascii="宋体" w:hAnsi="宋体" w:eastAsia="宋体" w:cs="宋体"/>
          <w:spacing w:val="1"/>
          <w:sz w:val="21"/>
          <w:szCs w:val="21"/>
        </w:rPr>
        <w:t>快</w:t>
      </w:r>
      <w:r>
        <w:rPr>
          <w:rFonts w:ascii="宋体" w:hAnsi="宋体" w:eastAsia="宋体" w:cs="宋体"/>
          <w:sz w:val="21"/>
          <w:szCs w:val="21"/>
        </w:rPr>
        <w:t>递配送站、</w:t>
      </w:r>
      <w:r>
        <w:rPr>
          <w:rFonts w:ascii="宋体" w:hAnsi="宋体" w:eastAsia="宋体" w:cs="宋体"/>
          <w:spacing w:val="-3"/>
          <w:sz w:val="21"/>
          <w:szCs w:val="21"/>
        </w:rPr>
        <w:t>分拣站。</w:t>
      </w:r>
    </w:p>
    <w:p>
      <w:pPr>
        <w:spacing w:before="69" w:line="219" w:lineRule="auto"/>
        <w:ind w:left="443"/>
        <w:rPr>
          <w:rFonts w:ascii="宋体" w:hAnsi="宋体" w:eastAsia="宋体" w:cs="宋体"/>
          <w:sz w:val="21"/>
          <w:szCs w:val="21"/>
        </w:rPr>
      </w:pPr>
      <w:r>
        <w:rPr>
          <w:rFonts w:ascii="宋体" w:hAnsi="宋体" w:eastAsia="宋体" w:cs="宋体"/>
          <w:b/>
          <w:bCs/>
          <w:spacing w:val="5"/>
          <w:sz w:val="21"/>
          <w:szCs w:val="21"/>
        </w:rPr>
        <w:t>4</w:t>
      </w:r>
      <w:r>
        <w:rPr>
          <w:rFonts w:ascii="宋体" w:hAnsi="宋体" w:eastAsia="宋体" w:cs="宋体"/>
          <w:spacing w:val="5"/>
          <w:sz w:val="21"/>
          <w:szCs w:val="21"/>
        </w:rPr>
        <w:t>藏书量超过50万册的图书馆。</w:t>
      </w:r>
    </w:p>
    <w:p>
      <w:pPr>
        <w:spacing w:before="83" w:line="259" w:lineRule="auto"/>
        <w:ind w:right="85"/>
        <w:rPr>
          <w:rFonts w:ascii="宋体" w:hAnsi="宋体" w:eastAsia="宋体" w:cs="宋体"/>
          <w:sz w:val="21"/>
          <w:szCs w:val="21"/>
        </w:rPr>
      </w:pPr>
      <w:r>
        <w:rPr>
          <w:rFonts w:ascii="宋体" w:hAnsi="宋体" w:eastAsia="宋体" w:cs="宋体"/>
          <w:spacing w:val="5"/>
          <w:sz w:val="21"/>
          <w:szCs w:val="21"/>
        </w:rPr>
        <w:t>3.2.4除本标准第3.2.3条外的多层办公及类似功能建筑，当</w:t>
      </w:r>
      <w:r>
        <w:rPr>
          <w:rFonts w:ascii="宋体" w:hAnsi="宋体" w:eastAsia="宋体" w:cs="宋体"/>
          <w:spacing w:val="7"/>
          <w:sz w:val="21"/>
          <w:szCs w:val="21"/>
        </w:rPr>
        <w:t>建筑面积大于300</w:t>
      </w:r>
      <w:r>
        <w:rPr>
          <w:rFonts w:ascii="Times New Roman" w:hAnsi="Times New Roman" w:eastAsia="Times New Roman" w:cs="Times New Roman"/>
          <w:spacing w:val="7"/>
          <w:sz w:val="21"/>
          <w:szCs w:val="21"/>
        </w:rPr>
        <w:t>m²</w:t>
      </w:r>
      <w:r>
        <w:rPr>
          <w:rFonts w:ascii="宋体" w:hAnsi="宋体" w:eastAsia="宋体" w:cs="宋体"/>
          <w:spacing w:val="7"/>
          <w:sz w:val="21"/>
          <w:szCs w:val="21"/>
        </w:rPr>
        <w:t>但小于或等于1000</w:t>
      </w:r>
      <w:r>
        <w:rPr>
          <w:rFonts w:ascii="Times New Roman" w:hAnsi="Times New Roman" w:eastAsia="Times New Roman" w:cs="Times New Roman"/>
          <w:spacing w:val="7"/>
          <w:sz w:val="21"/>
          <w:szCs w:val="21"/>
        </w:rPr>
        <w:t>m²</w:t>
      </w:r>
      <w:r>
        <w:rPr>
          <w:rFonts w:ascii="宋体" w:hAnsi="宋体" w:eastAsia="宋体" w:cs="宋体"/>
          <w:spacing w:val="7"/>
          <w:sz w:val="21"/>
          <w:szCs w:val="21"/>
        </w:rPr>
        <w:t>且设有送回风道</w:t>
      </w:r>
      <w:r>
        <w:rPr>
          <w:rFonts w:ascii="宋体" w:hAnsi="宋体" w:eastAsia="宋体" w:cs="宋体"/>
          <w:spacing w:val="-2"/>
          <w:sz w:val="21"/>
          <w:szCs w:val="21"/>
        </w:rPr>
        <w:t>(管)的集中空气调节系统时，其办公室和公共部位应设置自动喷</w:t>
      </w:r>
      <w:r>
        <w:rPr>
          <w:rFonts w:ascii="宋体" w:hAnsi="宋体" w:eastAsia="宋体" w:cs="宋体"/>
          <w:spacing w:val="-5"/>
          <w:sz w:val="21"/>
          <w:szCs w:val="21"/>
        </w:rPr>
        <w:t>水局部应用系统。</w:t>
      </w:r>
    </w:p>
    <w:p>
      <w:pPr>
        <w:spacing w:before="81" w:line="255" w:lineRule="auto"/>
        <w:ind w:right="91"/>
        <w:rPr>
          <w:rFonts w:ascii="宋体" w:hAnsi="宋体" w:eastAsia="宋体" w:cs="宋体"/>
          <w:sz w:val="21"/>
          <w:szCs w:val="21"/>
        </w:rPr>
      </w:pPr>
      <w:r>
        <w:rPr>
          <w:rFonts w:ascii="宋体" w:hAnsi="宋体" w:eastAsia="宋体" w:cs="宋体"/>
          <w:spacing w:val="2"/>
          <w:sz w:val="21"/>
          <w:szCs w:val="21"/>
        </w:rPr>
        <w:t>3.2.5除本标准另有规定和不宜用水保护或灭火的</w:t>
      </w:r>
      <w:r>
        <w:rPr>
          <w:rFonts w:ascii="宋体" w:hAnsi="宋体" w:eastAsia="宋体" w:cs="宋体"/>
          <w:spacing w:val="1"/>
          <w:sz w:val="21"/>
          <w:szCs w:val="21"/>
        </w:rPr>
        <w:t>场所外，商</w:t>
      </w:r>
      <w:r>
        <w:rPr>
          <w:rFonts w:ascii="宋体" w:hAnsi="宋体" w:eastAsia="宋体" w:cs="宋体"/>
          <w:spacing w:val="-10"/>
          <w:sz w:val="21"/>
          <w:szCs w:val="21"/>
        </w:rPr>
        <w:t>场、超市、商店、商业服务网点和市场建筑及部位，当符合下列情况之一时，应设置湿式系统：</w:t>
      </w:r>
    </w:p>
    <w:p>
      <w:pPr>
        <w:spacing w:before="78" w:line="242" w:lineRule="auto"/>
        <w:ind w:right="73" w:firstLine="443"/>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当其为高层建筑和高层底部的商业营业厅时，</w:t>
      </w:r>
      <w:r>
        <w:rPr>
          <w:rFonts w:ascii="宋体" w:hAnsi="宋体" w:eastAsia="宋体" w:cs="宋体"/>
          <w:spacing w:val="1"/>
          <w:sz w:val="21"/>
          <w:szCs w:val="21"/>
        </w:rPr>
        <w:t>其建筑及</w:t>
      </w:r>
      <w:r>
        <w:rPr>
          <w:rFonts w:ascii="宋体" w:hAnsi="宋体" w:eastAsia="宋体" w:cs="宋体"/>
          <w:spacing w:val="-5"/>
          <w:sz w:val="21"/>
          <w:szCs w:val="21"/>
        </w:rPr>
        <w:t>裙房的所有部位。</w:t>
      </w:r>
    </w:p>
    <w:p>
      <w:pPr>
        <w:spacing w:before="81" w:line="250" w:lineRule="auto"/>
        <w:ind w:right="95" w:firstLine="443"/>
        <w:rPr>
          <w:rFonts w:ascii="宋体" w:hAnsi="宋体" w:eastAsia="宋体" w:cs="宋体"/>
          <w:sz w:val="21"/>
          <w:szCs w:val="21"/>
        </w:rPr>
      </w:pPr>
      <w:r>
        <w:rPr>
          <w:rFonts w:ascii="宋体" w:hAnsi="宋体" w:eastAsia="宋体" w:cs="宋体"/>
          <w:b/>
          <w:bCs/>
          <w:spacing w:val="1"/>
          <w:sz w:val="21"/>
          <w:szCs w:val="21"/>
        </w:rPr>
        <w:t>2</w:t>
      </w:r>
      <w:r>
        <w:rPr>
          <w:rFonts w:ascii="宋体" w:hAnsi="宋体" w:eastAsia="宋体" w:cs="宋体"/>
          <w:spacing w:val="1"/>
          <w:sz w:val="21"/>
          <w:szCs w:val="21"/>
        </w:rPr>
        <w:t>当其为设有送回风道(管)的集中空气调节系统的多层建</w:t>
      </w:r>
      <w:r>
        <w:rPr>
          <w:rFonts w:ascii="宋体" w:hAnsi="宋体" w:eastAsia="宋体" w:cs="宋体"/>
          <w:spacing w:val="-14"/>
          <w:sz w:val="21"/>
          <w:szCs w:val="21"/>
        </w:rPr>
        <w:t>筑时，其所有部位。</w:t>
      </w:r>
    </w:p>
    <w:p>
      <w:pPr>
        <w:spacing w:before="41" w:line="219" w:lineRule="auto"/>
        <w:ind w:left="443"/>
        <w:rPr>
          <w:rFonts w:ascii="宋体" w:hAnsi="宋体" w:eastAsia="宋体" w:cs="宋体"/>
          <w:sz w:val="21"/>
          <w:szCs w:val="21"/>
        </w:rPr>
      </w:pPr>
      <w:r>
        <w:rPr>
          <w:rFonts w:ascii="宋体" w:hAnsi="宋体" w:eastAsia="宋体" w:cs="宋体"/>
          <w:b/>
          <w:bCs/>
          <w:spacing w:val="1"/>
          <w:sz w:val="21"/>
          <w:szCs w:val="21"/>
        </w:rPr>
        <w:t>3</w:t>
      </w:r>
      <w:r>
        <w:rPr>
          <w:rFonts w:ascii="宋体" w:hAnsi="宋体" w:eastAsia="宋体" w:cs="宋体"/>
          <w:spacing w:val="1"/>
          <w:sz w:val="21"/>
          <w:szCs w:val="21"/>
        </w:rPr>
        <w:t>当其建筑面积大于1000m²时，其</w:t>
      </w:r>
      <w:r>
        <w:rPr>
          <w:rFonts w:ascii="宋体" w:hAnsi="宋体" w:eastAsia="宋体" w:cs="宋体"/>
          <w:sz w:val="21"/>
          <w:szCs w:val="21"/>
        </w:rPr>
        <w:t>所有部位。</w:t>
      </w:r>
    </w:p>
    <w:p>
      <w:pPr>
        <w:spacing w:before="72" w:line="220" w:lineRule="auto"/>
        <w:ind w:left="443"/>
        <w:rPr>
          <w:rFonts w:ascii="宋体" w:hAnsi="宋体" w:eastAsia="宋体" w:cs="宋体"/>
          <w:sz w:val="21"/>
          <w:szCs w:val="21"/>
        </w:rPr>
      </w:pPr>
      <w:r>
        <w:rPr>
          <w:rFonts w:ascii="宋体" w:hAnsi="宋体" w:eastAsia="宋体" w:cs="宋体"/>
          <w:b/>
          <w:bCs/>
          <w:spacing w:val="3"/>
          <w:sz w:val="21"/>
          <w:szCs w:val="21"/>
        </w:rPr>
        <w:t>4</w:t>
      </w:r>
      <w:r>
        <w:rPr>
          <w:rFonts w:ascii="宋体" w:hAnsi="宋体" w:eastAsia="宋体" w:cs="宋体"/>
          <w:spacing w:val="3"/>
          <w:sz w:val="21"/>
          <w:szCs w:val="21"/>
        </w:rPr>
        <w:t>总建筑面积大于500m²的地下或半地下</w:t>
      </w:r>
      <w:r>
        <w:rPr>
          <w:rFonts w:ascii="宋体" w:hAnsi="宋体" w:eastAsia="宋体" w:cs="宋体"/>
          <w:spacing w:val="2"/>
          <w:sz w:val="21"/>
          <w:szCs w:val="21"/>
        </w:rPr>
        <w:t>商店。</w:t>
      </w:r>
    </w:p>
    <w:p>
      <w:pPr>
        <w:spacing w:before="69" w:line="219" w:lineRule="auto"/>
        <w:ind w:left="443"/>
        <w:rPr>
          <w:rFonts w:ascii="宋体" w:hAnsi="宋体" w:eastAsia="宋体" w:cs="宋体"/>
          <w:sz w:val="21"/>
          <w:szCs w:val="21"/>
        </w:rPr>
      </w:pPr>
      <w:r>
        <w:rPr>
          <w:rFonts w:ascii="宋体" w:hAnsi="宋体" w:eastAsia="宋体" w:cs="宋体"/>
          <w:b/>
          <w:bCs/>
          <w:spacing w:val="-2"/>
          <w:sz w:val="21"/>
          <w:szCs w:val="21"/>
        </w:rPr>
        <w:t>5</w:t>
      </w:r>
      <w:r>
        <w:rPr>
          <w:rFonts w:ascii="宋体" w:hAnsi="宋体" w:eastAsia="宋体" w:cs="宋体"/>
          <w:spacing w:val="-2"/>
          <w:sz w:val="21"/>
          <w:szCs w:val="21"/>
        </w:rPr>
        <w:t>有顶步行街两侧的商铺及每层回廊。</w:t>
      </w:r>
    </w:p>
    <w:p>
      <w:pPr>
        <w:spacing w:before="80" w:line="275" w:lineRule="auto"/>
        <w:ind w:right="93" w:firstLine="3"/>
        <w:rPr>
          <w:rFonts w:ascii="宋体" w:hAnsi="宋体" w:eastAsia="宋体" w:cs="宋体"/>
          <w:sz w:val="21"/>
          <w:szCs w:val="21"/>
        </w:rPr>
      </w:pPr>
      <w:r>
        <w:rPr>
          <w:rFonts w:ascii="宋体" w:hAnsi="宋体" w:eastAsia="宋体" w:cs="宋体"/>
          <w:b/>
          <w:bCs/>
          <w:spacing w:val="-2"/>
          <w:sz w:val="21"/>
          <w:szCs w:val="21"/>
        </w:rPr>
        <w:t>3.2.6</w:t>
      </w:r>
      <w:r>
        <w:rPr>
          <w:rFonts w:ascii="宋体" w:hAnsi="宋体" w:eastAsia="宋体" w:cs="宋体"/>
          <w:spacing w:val="-2"/>
          <w:sz w:val="21"/>
          <w:szCs w:val="21"/>
        </w:rPr>
        <w:t>除本标准第3.2.5条外的商场、超市、商店和市场建筑及</w:t>
      </w:r>
      <w:r>
        <w:rPr>
          <w:rFonts w:ascii="宋体" w:hAnsi="宋体" w:eastAsia="宋体" w:cs="宋体"/>
          <w:spacing w:val="-9"/>
          <w:sz w:val="21"/>
          <w:szCs w:val="21"/>
        </w:rPr>
        <w:t>部位，当符合下列情况之一时，应设置自动喷水局部应用系统：</w:t>
      </w:r>
    </w:p>
    <w:p>
      <w:pPr>
        <w:spacing w:before="15" w:line="219" w:lineRule="auto"/>
        <w:ind w:left="443"/>
        <w:rPr>
          <w:rFonts w:ascii="宋体" w:hAnsi="宋体" w:eastAsia="宋体" w:cs="宋体"/>
          <w:sz w:val="21"/>
          <w:szCs w:val="21"/>
        </w:rPr>
      </w:pPr>
      <w:r>
        <w:rPr>
          <w:rFonts w:ascii="宋体" w:hAnsi="宋体" w:eastAsia="宋体" w:cs="宋体"/>
          <w:b/>
          <w:bCs/>
          <w:spacing w:val="5"/>
          <w:sz w:val="21"/>
          <w:szCs w:val="21"/>
        </w:rPr>
        <w:t>1</w:t>
      </w:r>
      <w:r>
        <w:rPr>
          <w:rFonts w:ascii="宋体" w:hAnsi="宋体" w:eastAsia="宋体" w:cs="宋体"/>
          <w:spacing w:val="5"/>
          <w:sz w:val="21"/>
          <w:szCs w:val="21"/>
        </w:rPr>
        <w:t>当建筑面积大于300m²但小于或等于10</w:t>
      </w:r>
      <w:r>
        <w:rPr>
          <w:rFonts w:ascii="宋体" w:hAnsi="宋体" w:eastAsia="宋体" w:cs="宋体"/>
          <w:spacing w:val="4"/>
          <w:sz w:val="21"/>
          <w:szCs w:val="21"/>
        </w:rPr>
        <w:t>00m²时，其所</w:t>
      </w:r>
    </w:p>
    <w:p>
      <w:pPr>
        <w:spacing w:line="219" w:lineRule="auto"/>
        <w:rPr>
          <w:rFonts w:ascii="宋体" w:hAnsi="宋体" w:eastAsia="宋体" w:cs="宋体"/>
          <w:sz w:val="21"/>
          <w:szCs w:val="21"/>
        </w:rPr>
        <w:sectPr>
          <w:footerReference r:id="rId18" w:type="default"/>
          <w:pgSz w:w="8280" w:h="11850"/>
          <w:pgMar w:top="1007" w:right="1164" w:bottom="1360" w:left="1190" w:header="0" w:footer="1087" w:gutter="0"/>
          <w:cols w:space="720" w:num="1"/>
        </w:sectPr>
      </w:pPr>
    </w:p>
    <w:p>
      <w:pPr>
        <w:pStyle w:val="2"/>
        <w:spacing w:line="261" w:lineRule="auto"/>
      </w:pPr>
    </w:p>
    <w:p>
      <w:pPr>
        <w:spacing w:before="68" w:line="219" w:lineRule="auto"/>
        <w:rPr>
          <w:rFonts w:ascii="宋体" w:hAnsi="宋体" w:eastAsia="宋体" w:cs="宋体"/>
          <w:sz w:val="21"/>
          <w:szCs w:val="21"/>
        </w:rPr>
      </w:pPr>
      <w:bookmarkStart w:id="10" w:name="bookmark78"/>
      <w:bookmarkEnd w:id="10"/>
      <w:r>
        <w:rPr>
          <w:rFonts w:ascii="宋体" w:hAnsi="宋体" w:eastAsia="宋体" w:cs="宋体"/>
          <w:spacing w:val="1"/>
          <w:sz w:val="21"/>
          <w:szCs w:val="21"/>
        </w:rPr>
        <w:t>有部位。</w:t>
      </w:r>
    </w:p>
    <w:p>
      <w:pPr>
        <w:spacing w:before="60" w:line="251" w:lineRule="auto"/>
        <w:ind w:right="51" w:firstLine="403"/>
        <w:rPr>
          <w:rFonts w:ascii="宋体" w:hAnsi="宋体" w:eastAsia="宋体" w:cs="宋体"/>
          <w:sz w:val="21"/>
          <w:szCs w:val="21"/>
        </w:rPr>
      </w:pPr>
      <w:r>
        <w:rPr>
          <w:rFonts w:ascii="宋体" w:hAnsi="宋体" w:eastAsia="宋体" w:cs="宋体"/>
          <w:b/>
          <w:bCs/>
          <w:spacing w:val="3"/>
          <w:sz w:val="21"/>
          <w:szCs w:val="21"/>
        </w:rPr>
        <w:t>2</w:t>
      </w:r>
      <w:r>
        <w:rPr>
          <w:rFonts w:ascii="宋体" w:hAnsi="宋体" w:eastAsia="宋体" w:cs="宋体"/>
          <w:spacing w:val="3"/>
          <w:sz w:val="21"/>
          <w:szCs w:val="21"/>
        </w:rPr>
        <w:t>总建筑面积大于200m²但小于或等于500m²</w:t>
      </w:r>
      <w:r>
        <w:rPr>
          <w:rFonts w:ascii="宋体" w:hAnsi="宋体" w:eastAsia="宋体" w:cs="宋体"/>
          <w:spacing w:val="2"/>
          <w:sz w:val="21"/>
          <w:szCs w:val="21"/>
        </w:rPr>
        <w:t>的地下或</w:t>
      </w:r>
      <w:r>
        <w:rPr>
          <w:rFonts w:ascii="宋体" w:hAnsi="宋体" w:eastAsia="宋体" w:cs="宋体"/>
          <w:spacing w:val="-1"/>
          <w:sz w:val="21"/>
          <w:szCs w:val="21"/>
        </w:rPr>
        <w:t>半地下商店。</w:t>
      </w:r>
    </w:p>
    <w:p>
      <w:pPr>
        <w:spacing w:before="69" w:line="250" w:lineRule="auto"/>
        <w:ind w:right="49" w:firstLine="400"/>
        <w:rPr>
          <w:rFonts w:ascii="宋体" w:hAnsi="宋体" w:eastAsia="宋体" w:cs="宋体"/>
          <w:sz w:val="21"/>
          <w:szCs w:val="21"/>
        </w:rPr>
      </w:pPr>
      <w:r>
        <w:rPr>
          <w:rFonts w:ascii="Times New Roman" w:hAnsi="Times New Roman" w:eastAsia="Times New Roman" w:cs="Times New Roman"/>
          <w:b/>
          <w:bCs/>
          <w:spacing w:val="3"/>
          <w:sz w:val="21"/>
          <w:szCs w:val="21"/>
        </w:rPr>
        <w:t>3</w:t>
      </w:r>
      <w:r>
        <w:rPr>
          <w:rFonts w:ascii="宋体" w:hAnsi="宋体" w:eastAsia="宋体" w:cs="宋体"/>
          <w:spacing w:val="3"/>
          <w:sz w:val="21"/>
          <w:szCs w:val="21"/>
        </w:rPr>
        <w:t>用风雨棚连接的多个市场的占地</w:t>
      </w:r>
      <w:r>
        <w:rPr>
          <w:rFonts w:ascii="宋体" w:hAnsi="宋体" w:eastAsia="宋体" w:cs="宋体"/>
          <w:spacing w:val="2"/>
          <w:sz w:val="21"/>
          <w:szCs w:val="21"/>
        </w:rPr>
        <w:t>面积大于3000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且每</w:t>
      </w:r>
      <w:r>
        <w:rPr>
          <w:rFonts w:ascii="宋体" w:hAnsi="宋体" w:eastAsia="宋体" w:cs="宋体"/>
          <w:spacing w:val="5"/>
          <w:sz w:val="21"/>
          <w:szCs w:val="21"/>
        </w:rPr>
        <w:t>个市场的面积小于或等于1000m²的集贸市场和批发</w:t>
      </w:r>
      <w:r>
        <w:rPr>
          <w:rFonts w:ascii="宋体" w:hAnsi="宋体" w:eastAsia="宋体" w:cs="宋体"/>
          <w:spacing w:val="4"/>
          <w:sz w:val="21"/>
          <w:szCs w:val="21"/>
        </w:rPr>
        <w:t>市场。</w:t>
      </w:r>
    </w:p>
    <w:p>
      <w:pPr>
        <w:spacing w:before="70" w:line="266" w:lineRule="auto"/>
        <w:ind w:firstLine="400"/>
        <w:rPr>
          <w:rFonts w:ascii="宋体" w:hAnsi="宋体" w:eastAsia="宋体" w:cs="宋体"/>
          <w:sz w:val="21"/>
          <w:szCs w:val="21"/>
        </w:rPr>
      </w:pPr>
      <w:r>
        <w:rPr>
          <w:rFonts w:ascii="宋体" w:hAnsi="宋体" w:eastAsia="宋体" w:cs="宋体"/>
          <w:spacing w:val="-21"/>
          <w:w w:val="94"/>
          <w:sz w:val="21"/>
          <w:szCs w:val="21"/>
        </w:rPr>
        <w:t>注：单纯经营</w:t>
      </w:r>
      <w:r>
        <w:rPr>
          <w:rFonts w:ascii="宋体" w:hAnsi="宋体" w:eastAsia="宋体" w:cs="宋体"/>
          <w:spacing w:val="-20"/>
          <w:w w:val="94"/>
          <w:sz w:val="21"/>
          <w:szCs w:val="21"/>
        </w:rPr>
        <w:t>石材、金属器具等不燃材料的市场，当一个防火分区面</w:t>
      </w:r>
      <w:r>
        <w:rPr>
          <w:rFonts w:ascii="宋体" w:hAnsi="宋体" w:eastAsia="宋体" w:cs="宋体"/>
          <w:spacing w:val="-14"/>
          <w:w w:val="94"/>
          <w:sz w:val="21"/>
          <w:szCs w:val="21"/>
        </w:rPr>
        <w:t>积</w:t>
      </w:r>
      <w:r>
        <w:rPr>
          <w:rFonts w:ascii="宋体" w:hAnsi="宋体" w:eastAsia="宋体" w:cs="宋体"/>
          <w:spacing w:val="-19"/>
          <w:sz w:val="21"/>
          <w:szCs w:val="21"/>
        </w:rPr>
        <w:t>不大于5000</w:t>
      </w:r>
      <w:r>
        <w:rPr>
          <w:rFonts w:ascii="Times New Roman" w:hAnsi="Times New Roman" w:eastAsia="Times New Roman" w:cs="Times New Roman"/>
          <w:spacing w:val="-19"/>
          <w:sz w:val="21"/>
          <w:szCs w:val="21"/>
        </w:rPr>
        <w:t>m²</w:t>
      </w:r>
      <w:r>
        <w:rPr>
          <w:rFonts w:ascii="宋体" w:hAnsi="宋体" w:eastAsia="宋体" w:cs="宋体"/>
          <w:spacing w:val="-19"/>
          <w:sz w:val="21"/>
          <w:szCs w:val="21"/>
        </w:rPr>
        <w:t>时，可除外。</w:t>
      </w:r>
    </w:p>
    <w:p>
      <w:pPr>
        <w:spacing w:before="3" w:line="274" w:lineRule="auto"/>
        <w:ind w:right="19"/>
        <w:jc w:val="both"/>
        <w:rPr>
          <w:rFonts w:ascii="宋体" w:hAnsi="宋体" w:eastAsia="宋体" w:cs="宋体"/>
          <w:sz w:val="21"/>
          <w:szCs w:val="21"/>
        </w:rPr>
      </w:pPr>
      <w:r>
        <w:rPr>
          <w:rFonts w:ascii="Times New Roman" w:hAnsi="Times New Roman" w:eastAsia="Times New Roman" w:cs="Times New Roman"/>
          <w:b/>
          <w:bCs/>
          <w:spacing w:val="5"/>
          <w:sz w:val="21"/>
          <w:szCs w:val="21"/>
        </w:rPr>
        <w:t>3.2.7</w:t>
      </w:r>
      <w:r>
        <w:rPr>
          <w:rFonts w:ascii="宋体" w:hAnsi="宋体" w:eastAsia="宋体" w:cs="宋体"/>
          <w:spacing w:val="5"/>
          <w:sz w:val="21"/>
          <w:szCs w:val="21"/>
        </w:rPr>
        <w:t>建筑面积300</w:t>
      </w:r>
      <w:r>
        <w:rPr>
          <w:rFonts w:ascii="Times New Roman" w:hAnsi="Times New Roman" w:eastAsia="Times New Roman" w:cs="Times New Roman"/>
          <w:spacing w:val="5"/>
          <w:sz w:val="21"/>
          <w:szCs w:val="21"/>
        </w:rPr>
        <w:t>m²</w:t>
      </w:r>
      <w:r>
        <w:rPr>
          <w:rFonts w:ascii="宋体" w:hAnsi="宋体" w:eastAsia="宋体" w:cs="宋体"/>
          <w:spacing w:val="5"/>
          <w:sz w:val="21"/>
          <w:szCs w:val="21"/>
        </w:rPr>
        <w:t>及以下的易燃易爆化学物品(除遇水易</w:t>
      </w:r>
      <w:r>
        <w:rPr>
          <w:rFonts w:ascii="宋体" w:hAnsi="宋体" w:eastAsia="宋体" w:cs="宋体"/>
          <w:spacing w:val="-8"/>
          <w:sz w:val="21"/>
          <w:szCs w:val="21"/>
        </w:rPr>
        <w:t>爆化学品外)、塑料、纸张、木材、布匹等可燃物集中的商店(包括</w:t>
      </w:r>
      <w:r>
        <w:rPr>
          <w:rFonts w:ascii="宋体" w:hAnsi="宋体" w:eastAsia="宋体" w:cs="宋体"/>
          <w:sz w:val="21"/>
          <w:szCs w:val="21"/>
        </w:rPr>
        <w:t>配套库房),宜设置自动喷水灭火系统。当</w:t>
      </w:r>
      <w:r>
        <w:rPr>
          <w:rFonts w:ascii="宋体" w:hAnsi="宋体" w:eastAsia="宋体" w:cs="宋体"/>
          <w:spacing w:val="-1"/>
          <w:sz w:val="21"/>
          <w:szCs w:val="21"/>
        </w:rPr>
        <w:t>确有困难时，应设置简易自动喷水灭火系统。</w:t>
      </w:r>
    </w:p>
    <w:p>
      <w:pPr>
        <w:spacing w:before="26" w:line="273" w:lineRule="auto"/>
        <w:ind w:right="46" w:firstLine="3"/>
        <w:jc w:val="both"/>
        <w:rPr>
          <w:rFonts w:ascii="宋体" w:hAnsi="宋体" w:eastAsia="宋体" w:cs="宋体"/>
          <w:sz w:val="21"/>
          <w:szCs w:val="21"/>
        </w:rPr>
      </w:pPr>
      <w:r>
        <w:rPr>
          <w:rFonts w:ascii="宋体" w:hAnsi="宋体" w:eastAsia="宋体" w:cs="宋体"/>
          <w:b/>
          <w:bCs/>
          <w:spacing w:val="2"/>
          <w:sz w:val="21"/>
          <w:szCs w:val="21"/>
        </w:rPr>
        <w:t>3.2.8</w:t>
      </w:r>
      <w:r>
        <w:rPr>
          <w:rFonts w:ascii="宋体" w:hAnsi="宋体" w:eastAsia="宋体" w:cs="宋体"/>
          <w:spacing w:val="2"/>
          <w:sz w:val="21"/>
          <w:szCs w:val="21"/>
        </w:rPr>
        <w:t>设置在地下、半地下或地上四层及以上楼层的歌舞娱乐</w:t>
      </w:r>
      <w:r>
        <w:rPr>
          <w:rFonts w:ascii="宋体" w:hAnsi="宋体" w:eastAsia="宋体" w:cs="宋体"/>
          <w:spacing w:val="-8"/>
          <w:sz w:val="21"/>
          <w:szCs w:val="21"/>
        </w:rPr>
        <w:t>放映游艺场所(除滑雪场所滑道区、游泳场所、溜冰场外)、剧本娱</w:t>
      </w:r>
      <w:r>
        <w:rPr>
          <w:rFonts w:ascii="宋体" w:hAnsi="宋体" w:eastAsia="宋体" w:cs="宋体"/>
          <w:spacing w:val="7"/>
          <w:sz w:val="21"/>
          <w:szCs w:val="21"/>
        </w:rPr>
        <w:t>乐活动场所，设置在首层、二层和三层且任一层建筑面积大于</w:t>
      </w:r>
      <w:r>
        <w:rPr>
          <w:rFonts w:ascii="Times New Roman" w:hAnsi="Times New Roman" w:eastAsia="Times New Roman" w:cs="Times New Roman"/>
          <w:spacing w:val="1"/>
          <w:sz w:val="21"/>
          <w:szCs w:val="21"/>
        </w:rPr>
        <w:t>300m²</w:t>
      </w:r>
      <w:r>
        <w:rPr>
          <w:rFonts w:ascii="宋体" w:hAnsi="宋体" w:eastAsia="宋体" w:cs="宋体"/>
          <w:spacing w:val="1"/>
          <w:sz w:val="21"/>
          <w:szCs w:val="21"/>
        </w:rPr>
        <w:t>的地上歌舞娱乐放映游艺场所(除滑雪场所滑道区</w:t>
      </w:r>
      <w:r>
        <w:rPr>
          <w:rFonts w:ascii="宋体" w:hAnsi="宋体" w:eastAsia="宋体" w:cs="宋体"/>
          <w:sz w:val="21"/>
          <w:szCs w:val="21"/>
        </w:rPr>
        <w:t>、游泳</w:t>
      </w:r>
      <w:r>
        <w:rPr>
          <w:rFonts w:ascii="宋体" w:hAnsi="宋体" w:eastAsia="宋体" w:cs="宋体"/>
          <w:spacing w:val="-13"/>
          <w:sz w:val="21"/>
          <w:szCs w:val="21"/>
        </w:rPr>
        <w:t>场所、溜冰场外)、剧本娱乐活动场所，应设置湿式系统。</w:t>
      </w:r>
    </w:p>
    <w:p>
      <w:pPr>
        <w:spacing w:before="45" w:line="255" w:lineRule="auto"/>
        <w:ind w:right="50" w:firstLine="3"/>
        <w:rPr>
          <w:rFonts w:ascii="宋体" w:hAnsi="宋体" w:eastAsia="宋体" w:cs="宋体"/>
          <w:sz w:val="21"/>
          <w:szCs w:val="21"/>
        </w:rPr>
      </w:pPr>
      <w:r>
        <w:rPr>
          <w:rFonts w:ascii="宋体" w:hAnsi="宋体" w:eastAsia="宋体" w:cs="宋体"/>
          <w:b/>
          <w:bCs/>
          <w:spacing w:val="8"/>
          <w:sz w:val="21"/>
          <w:szCs w:val="21"/>
        </w:rPr>
        <w:t>3.2.9</w:t>
      </w:r>
      <w:r>
        <w:rPr>
          <w:rFonts w:ascii="宋体" w:hAnsi="宋体" w:eastAsia="宋体" w:cs="宋体"/>
          <w:spacing w:val="8"/>
          <w:sz w:val="21"/>
          <w:szCs w:val="21"/>
        </w:rPr>
        <w:t>除本标准第3.2.8条外的歌舞娱乐放映游艺场所(除滑</w:t>
      </w:r>
      <w:r>
        <w:rPr>
          <w:rFonts w:ascii="宋体" w:hAnsi="宋体" w:eastAsia="宋体" w:cs="宋体"/>
          <w:spacing w:val="-11"/>
          <w:sz w:val="21"/>
          <w:szCs w:val="21"/>
        </w:rPr>
        <w:t>雪场所滑道区、游泳场所、溜冰场外)、剧本</w:t>
      </w:r>
      <w:r>
        <w:rPr>
          <w:rFonts w:ascii="宋体" w:hAnsi="宋体" w:eastAsia="宋体" w:cs="宋体"/>
          <w:spacing w:val="-12"/>
          <w:sz w:val="21"/>
          <w:szCs w:val="21"/>
        </w:rPr>
        <w:t>娱乐活动场所，应设置</w:t>
      </w:r>
      <w:r>
        <w:rPr>
          <w:rFonts w:ascii="宋体" w:hAnsi="宋体" w:eastAsia="宋体" w:cs="宋体"/>
          <w:spacing w:val="-4"/>
          <w:sz w:val="21"/>
          <w:szCs w:val="21"/>
        </w:rPr>
        <w:t>简易自动喷水灭火系统。</w:t>
      </w:r>
    </w:p>
    <w:p>
      <w:pPr>
        <w:spacing w:before="70" w:line="251" w:lineRule="auto"/>
        <w:ind w:right="42" w:firstLine="3"/>
        <w:rPr>
          <w:rFonts w:ascii="宋体" w:hAnsi="宋体" w:eastAsia="宋体" w:cs="宋体"/>
          <w:sz w:val="21"/>
          <w:szCs w:val="21"/>
        </w:rPr>
      </w:pPr>
      <w:r>
        <w:rPr>
          <w:rFonts w:ascii="宋体" w:hAnsi="宋体" w:eastAsia="宋体" w:cs="宋体"/>
          <w:b/>
          <w:bCs/>
          <w:spacing w:val="-1"/>
          <w:sz w:val="21"/>
          <w:szCs w:val="21"/>
        </w:rPr>
        <w:t>3.2.10</w:t>
      </w:r>
      <w:r>
        <w:rPr>
          <w:rFonts w:ascii="宋体" w:hAnsi="宋体" w:eastAsia="宋体" w:cs="宋体"/>
          <w:spacing w:val="-1"/>
          <w:sz w:val="21"/>
          <w:szCs w:val="21"/>
        </w:rPr>
        <w:t>除本标准另有规定和不宜用水保护或灭火的场所外，旅</w:t>
      </w:r>
      <w:r>
        <w:rPr>
          <w:rFonts w:ascii="宋体" w:hAnsi="宋体" w:eastAsia="宋体" w:cs="宋体"/>
          <w:spacing w:val="-5"/>
          <w:sz w:val="21"/>
          <w:szCs w:val="21"/>
        </w:rPr>
        <w:t>馆和宾馆建筑当符合下列情况之一时，应设置湿式系统：</w:t>
      </w:r>
    </w:p>
    <w:p>
      <w:pPr>
        <w:spacing w:before="60" w:line="246" w:lineRule="auto"/>
        <w:ind w:right="42" w:firstLine="403"/>
        <w:rPr>
          <w:rFonts w:ascii="宋体" w:hAnsi="宋体" w:eastAsia="宋体" w:cs="宋体"/>
          <w:sz w:val="21"/>
          <w:szCs w:val="21"/>
        </w:rPr>
      </w:pPr>
      <w:r>
        <w:rPr>
          <w:rFonts w:ascii="宋体" w:hAnsi="宋体" w:eastAsia="宋体" w:cs="宋体"/>
          <w:b/>
          <w:bCs/>
          <w:spacing w:val="1"/>
          <w:sz w:val="21"/>
          <w:szCs w:val="21"/>
        </w:rPr>
        <w:t>1</w:t>
      </w:r>
      <w:r>
        <w:rPr>
          <w:rFonts w:ascii="宋体" w:hAnsi="宋体" w:eastAsia="宋体" w:cs="宋体"/>
          <w:spacing w:val="1"/>
          <w:sz w:val="21"/>
          <w:szCs w:val="21"/>
        </w:rPr>
        <w:t>高层建筑和设有送回风道(管)的集中空气调节系统的多</w:t>
      </w:r>
      <w:r>
        <w:rPr>
          <w:rFonts w:ascii="宋体" w:hAnsi="宋体" w:eastAsia="宋体" w:cs="宋体"/>
          <w:spacing w:val="-3"/>
          <w:sz w:val="21"/>
          <w:szCs w:val="21"/>
        </w:rPr>
        <w:t>层建筑旅馆和宾馆及其裙房。</w:t>
      </w:r>
    </w:p>
    <w:p>
      <w:pPr>
        <w:spacing w:before="70" w:line="255" w:lineRule="auto"/>
        <w:ind w:right="49" w:firstLine="403"/>
        <w:rPr>
          <w:rFonts w:ascii="宋体" w:hAnsi="宋体" w:eastAsia="宋体" w:cs="宋体"/>
          <w:sz w:val="21"/>
          <w:szCs w:val="21"/>
        </w:rPr>
      </w:pPr>
      <w:r>
        <w:rPr>
          <w:rFonts w:ascii="宋体" w:hAnsi="宋体" w:eastAsia="宋体" w:cs="宋体"/>
          <w:b/>
          <w:bCs/>
          <w:spacing w:val="23"/>
          <w:sz w:val="21"/>
          <w:szCs w:val="21"/>
        </w:rPr>
        <w:t>2</w:t>
      </w:r>
      <w:r>
        <w:rPr>
          <w:rFonts w:ascii="宋体" w:hAnsi="宋体" w:eastAsia="宋体" w:cs="宋体"/>
          <w:spacing w:val="23"/>
          <w:sz w:val="21"/>
          <w:szCs w:val="21"/>
        </w:rPr>
        <w:t>任一层建筑面积大于1500m²或总建筑面</w:t>
      </w:r>
      <w:r>
        <w:rPr>
          <w:rFonts w:ascii="宋体" w:hAnsi="宋体" w:eastAsia="宋体" w:cs="宋体"/>
          <w:spacing w:val="22"/>
          <w:sz w:val="21"/>
          <w:szCs w:val="21"/>
        </w:rPr>
        <w:t>积大于</w:t>
      </w:r>
      <w:r>
        <w:rPr>
          <w:rFonts w:ascii="Times New Roman" w:hAnsi="Times New Roman" w:eastAsia="Times New Roman" w:cs="Times New Roman"/>
          <w:spacing w:val="-7"/>
          <w:sz w:val="21"/>
          <w:szCs w:val="21"/>
        </w:rPr>
        <w:t>3000m²</w:t>
      </w:r>
      <w:r>
        <w:rPr>
          <w:rFonts w:ascii="宋体" w:hAnsi="宋体" w:eastAsia="宋体" w:cs="宋体"/>
          <w:spacing w:val="-7"/>
          <w:sz w:val="21"/>
          <w:szCs w:val="21"/>
        </w:rPr>
        <w:t>的单、多层旅馆和宾馆。</w:t>
      </w:r>
    </w:p>
    <w:p>
      <w:pPr>
        <w:spacing w:before="60" w:line="284" w:lineRule="auto"/>
        <w:ind w:right="51" w:firstLine="3"/>
        <w:rPr>
          <w:rFonts w:ascii="宋体" w:hAnsi="宋体" w:eastAsia="宋体" w:cs="宋体"/>
          <w:sz w:val="21"/>
          <w:szCs w:val="21"/>
        </w:rPr>
      </w:pPr>
      <w:r>
        <w:rPr>
          <w:rFonts w:ascii="宋体" w:hAnsi="宋体" w:eastAsia="宋体" w:cs="宋体"/>
          <w:b/>
          <w:bCs/>
          <w:spacing w:val="-8"/>
          <w:sz w:val="21"/>
          <w:szCs w:val="21"/>
        </w:rPr>
        <w:t>3.2.11</w:t>
      </w:r>
      <w:r>
        <w:rPr>
          <w:rFonts w:ascii="宋体" w:hAnsi="宋体" w:eastAsia="宋体" w:cs="宋体"/>
          <w:spacing w:val="-8"/>
          <w:sz w:val="21"/>
          <w:szCs w:val="21"/>
        </w:rPr>
        <w:t>除本标准另有规定和不宜用水保护或灭火的场所外，展览</w:t>
      </w:r>
      <w:r>
        <w:rPr>
          <w:rFonts w:ascii="宋体" w:hAnsi="宋体" w:eastAsia="宋体" w:cs="宋体"/>
          <w:spacing w:val="-13"/>
          <w:sz w:val="21"/>
          <w:szCs w:val="21"/>
        </w:rPr>
        <w:t>楼、展览馆及展览大厅当符合下列情况之一时，应设置湿</w:t>
      </w:r>
      <w:r>
        <w:rPr>
          <w:rFonts w:ascii="宋体" w:hAnsi="宋体" w:eastAsia="宋体" w:cs="宋体"/>
          <w:spacing w:val="-14"/>
          <w:sz w:val="21"/>
          <w:szCs w:val="21"/>
        </w:rPr>
        <w:t>式系统：</w:t>
      </w:r>
    </w:p>
    <w:p>
      <w:pPr>
        <w:spacing w:before="5" w:line="219" w:lineRule="auto"/>
        <w:ind w:left="403"/>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设有送回风道(管)的集中空气调节系统。</w:t>
      </w:r>
    </w:p>
    <w:p>
      <w:pPr>
        <w:spacing w:before="61" w:line="219" w:lineRule="auto"/>
        <w:ind w:left="403"/>
        <w:rPr>
          <w:rFonts w:ascii="宋体" w:hAnsi="宋体" w:eastAsia="宋体" w:cs="宋体"/>
          <w:sz w:val="21"/>
          <w:szCs w:val="21"/>
        </w:rPr>
      </w:pPr>
      <w:r>
        <w:rPr>
          <w:rFonts w:ascii="宋体" w:hAnsi="宋体" w:eastAsia="宋体" w:cs="宋体"/>
          <w:b/>
          <w:bCs/>
          <w:spacing w:val="24"/>
          <w:sz w:val="21"/>
          <w:szCs w:val="21"/>
        </w:rPr>
        <w:t>2</w:t>
      </w:r>
      <w:r>
        <w:rPr>
          <w:rFonts w:ascii="宋体" w:hAnsi="宋体" w:eastAsia="宋体" w:cs="宋体"/>
          <w:spacing w:val="24"/>
          <w:sz w:val="21"/>
          <w:szCs w:val="21"/>
        </w:rPr>
        <w:t>任一层建筑面积大于1500m²或总建筑面积大于</w:t>
      </w:r>
    </w:p>
    <w:p>
      <w:pPr>
        <w:spacing w:line="219" w:lineRule="auto"/>
        <w:rPr>
          <w:rFonts w:ascii="宋体" w:hAnsi="宋体" w:eastAsia="宋体" w:cs="宋体"/>
          <w:sz w:val="21"/>
          <w:szCs w:val="21"/>
        </w:rPr>
        <w:sectPr>
          <w:footerReference r:id="rId19" w:type="default"/>
          <w:pgSz w:w="8280" w:h="11850"/>
          <w:pgMar w:top="1007" w:right="1178" w:bottom="1330" w:left="1190" w:header="0" w:footer="1057" w:gutter="0"/>
          <w:cols w:space="720" w:num="1"/>
        </w:sectPr>
      </w:pPr>
    </w:p>
    <w:p>
      <w:pPr>
        <w:spacing w:before="306" w:line="180" w:lineRule="auto"/>
        <w:rPr>
          <w:rFonts w:ascii="宋体" w:hAnsi="宋体" w:eastAsia="宋体" w:cs="宋体"/>
          <w:sz w:val="21"/>
          <w:szCs w:val="21"/>
        </w:rPr>
      </w:pPr>
      <w:r>
        <w:rPr>
          <w:rFonts w:ascii="Times New Roman" w:hAnsi="Times New Roman" w:eastAsia="Times New Roman" w:cs="Times New Roman"/>
          <w:spacing w:val="-2"/>
          <w:sz w:val="21"/>
          <w:szCs w:val="21"/>
        </w:rPr>
        <w:t>3000m²</w:t>
      </w:r>
      <w:r>
        <w:rPr>
          <w:rFonts w:ascii="宋体" w:hAnsi="宋体" w:eastAsia="宋体" w:cs="宋体"/>
          <w:spacing w:val="-2"/>
          <w:sz w:val="21"/>
          <w:szCs w:val="21"/>
        </w:rPr>
        <w:t>。</w:t>
      </w:r>
    </w:p>
    <w:p>
      <w:pPr>
        <w:spacing w:before="65" w:line="256" w:lineRule="auto"/>
        <w:ind w:right="41"/>
        <w:rPr>
          <w:rFonts w:ascii="宋体" w:hAnsi="宋体" w:eastAsia="宋体" w:cs="宋体"/>
          <w:sz w:val="21"/>
          <w:szCs w:val="21"/>
        </w:rPr>
      </w:pPr>
      <w:r>
        <w:rPr>
          <w:rFonts w:ascii="宋体" w:hAnsi="宋体" w:eastAsia="宋体" w:cs="宋体"/>
          <w:spacing w:val="-3"/>
          <w:sz w:val="21"/>
          <w:szCs w:val="21"/>
        </w:rPr>
        <w:t>3.2.12餐厅、酒吧、咖啡厅等餐饮场所(</w:t>
      </w:r>
      <w:r>
        <w:rPr>
          <w:rFonts w:ascii="宋体" w:hAnsi="宋体" w:eastAsia="宋体" w:cs="宋体"/>
          <w:spacing w:val="-4"/>
          <w:sz w:val="21"/>
          <w:szCs w:val="21"/>
        </w:rPr>
        <w:t>学生和职工食堂除外),</w:t>
      </w:r>
      <w:r>
        <w:rPr>
          <w:rFonts w:ascii="宋体" w:hAnsi="宋体" w:eastAsia="宋体" w:cs="宋体"/>
          <w:spacing w:val="4"/>
          <w:sz w:val="21"/>
          <w:szCs w:val="21"/>
        </w:rPr>
        <w:t>当建筑面积大于1000</w:t>
      </w:r>
      <w:r>
        <w:rPr>
          <w:rFonts w:ascii="Times New Roman" w:hAnsi="Times New Roman" w:eastAsia="Times New Roman" w:cs="Times New Roman"/>
          <w:spacing w:val="4"/>
          <w:sz w:val="21"/>
          <w:szCs w:val="21"/>
        </w:rPr>
        <w:t>m²</w:t>
      </w:r>
      <w:r>
        <w:rPr>
          <w:rFonts w:ascii="宋体" w:hAnsi="宋体" w:eastAsia="宋体" w:cs="宋体"/>
          <w:spacing w:val="4"/>
          <w:sz w:val="21"/>
          <w:szCs w:val="21"/>
        </w:rPr>
        <w:t>时应设置湿式系统；当建筑面积大于</w:t>
      </w:r>
      <w:r>
        <w:rPr>
          <w:rFonts w:ascii="Times New Roman" w:hAnsi="Times New Roman" w:eastAsia="Times New Roman" w:cs="Times New Roman"/>
          <w:spacing w:val="3"/>
          <w:sz w:val="21"/>
          <w:szCs w:val="21"/>
        </w:rPr>
        <w:t>300m²</w:t>
      </w:r>
      <w:r>
        <w:rPr>
          <w:rFonts w:ascii="宋体" w:hAnsi="宋体" w:eastAsia="宋体" w:cs="宋体"/>
          <w:spacing w:val="3"/>
          <w:sz w:val="21"/>
          <w:szCs w:val="21"/>
        </w:rPr>
        <w:t>且不大于1000</w:t>
      </w:r>
      <w:r>
        <w:rPr>
          <w:rFonts w:ascii="Times New Roman" w:hAnsi="Times New Roman" w:eastAsia="Times New Roman" w:cs="Times New Roman"/>
          <w:spacing w:val="3"/>
          <w:sz w:val="21"/>
          <w:szCs w:val="21"/>
        </w:rPr>
        <w:t>m²</w:t>
      </w:r>
      <w:r>
        <w:rPr>
          <w:rFonts w:ascii="宋体" w:hAnsi="宋体" w:eastAsia="宋体" w:cs="宋体"/>
          <w:spacing w:val="3"/>
          <w:sz w:val="21"/>
          <w:szCs w:val="21"/>
        </w:rPr>
        <w:t>时应设置自动喷水局部应用系统。</w:t>
      </w:r>
    </w:p>
    <w:p>
      <w:pPr>
        <w:spacing w:before="79" w:line="261" w:lineRule="auto"/>
        <w:ind w:right="75"/>
        <w:rPr>
          <w:rFonts w:ascii="宋体" w:hAnsi="宋体" w:eastAsia="宋体" w:cs="宋体"/>
          <w:sz w:val="21"/>
          <w:szCs w:val="21"/>
        </w:rPr>
      </w:pPr>
      <w:r>
        <w:rPr>
          <w:rFonts w:ascii="宋体" w:hAnsi="宋体" w:eastAsia="宋体" w:cs="宋体"/>
          <w:spacing w:val="-1"/>
          <w:sz w:val="21"/>
          <w:szCs w:val="21"/>
        </w:rPr>
        <w:t>3.2.13除本标准另有规定和不宜用水</w:t>
      </w:r>
      <w:r>
        <w:rPr>
          <w:rFonts w:ascii="宋体" w:hAnsi="宋体" w:eastAsia="宋体" w:cs="宋体"/>
          <w:spacing w:val="-2"/>
          <w:sz w:val="21"/>
          <w:szCs w:val="21"/>
        </w:rPr>
        <w:t>保护或灭火的场所外，任</w:t>
      </w:r>
      <w:r>
        <w:rPr>
          <w:rFonts w:ascii="宋体" w:hAnsi="宋体" w:eastAsia="宋体" w:cs="宋体"/>
          <w:spacing w:val="7"/>
          <w:sz w:val="21"/>
          <w:szCs w:val="21"/>
        </w:rPr>
        <w:t>一楼层建筑面积大于1500</w:t>
      </w:r>
      <w:r>
        <w:rPr>
          <w:rFonts w:ascii="Times New Roman" w:hAnsi="Times New Roman" w:eastAsia="Times New Roman" w:cs="Times New Roman"/>
          <w:spacing w:val="7"/>
          <w:sz w:val="21"/>
          <w:szCs w:val="21"/>
        </w:rPr>
        <w:t>m²</w:t>
      </w:r>
      <w:r>
        <w:rPr>
          <w:rFonts w:ascii="宋体" w:hAnsi="宋体" w:eastAsia="宋体" w:cs="宋体"/>
          <w:spacing w:val="7"/>
          <w:sz w:val="21"/>
          <w:szCs w:val="21"/>
        </w:rPr>
        <w:t>的或总建筑面积大于3000</w:t>
      </w:r>
      <w:r>
        <w:rPr>
          <w:rFonts w:ascii="Times New Roman" w:hAnsi="Times New Roman" w:eastAsia="Times New Roman" w:cs="Times New Roman"/>
          <w:spacing w:val="7"/>
          <w:sz w:val="21"/>
          <w:szCs w:val="21"/>
        </w:rPr>
        <w:t>m²</w:t>
      </w:r>
      <w:r>
        <w:rPr>
          <w:rFonts w:ascii="宋体" w:hAnsi="宋体" w:eastAsia="宋体" w:cs="宋体"/>
          <w:spacing w:val="7"/>
          <w:sz w:val="21"/>
          <w:szCs w:val="21"/>
        </w:rPr>
        <w:t>的</w:t>
      </w:r>
      <w:r>
        <w:rPr>
          <w:rFonts w:ascii="宋体" w:hAnsi="宋体" w:eastAsia="宋体" w:cs="宋体"/>
          <w:spacing w:val="-3"/>
          <w:sz w:val="21"/>
          <w:szCs w:val="21"/>
        </w:rPr>
        <w:t>医疗卫生建筑和疗养院应设置湿式系统。</w:t>
      </w:r>
    </w:p>
    <w:p>
      <w:pPr>
        <w:spacing w:before="81" w:line="255" w:lineRule="auto"/>
        <w:ind w:right="85"/>
        <w:rPr>
          <w:rFonts w:ascii="宋体" w:hAnsi="宋体" w:eastAsia="宋体" w:cs="宋体"/>
          <w:sz w:val="21"/>
          <w:szCs w:val="21"/>
        </w:rPr>
      </w:pPr>
      <w:r>
        <w:rPr>
          <w:rFonts w:ascii="宋体" w:hAnsi="宋体" w:eastAsia="宋体" w:cs="宋体"/>
          <w:spacing w:val="-2"/>
          <w:sz w:val="21"/>
          <w:szCs w:val="21"/>
        </w:rPr>
        <w:t>3.2.14除本标准另有规定和不宜用水保护或灭火的场所外，当</w:t>
      </w:r>
      <w:r>
        <w:rPr>
          <w:rFonts w:ascii="宋体" w:hAnsi="宋体" w:eastAsia="宋体" w:cs="宋体"/>
          <w:spacing w:val="-9"/>
          <w:sz w:val="21"/>
          <w:szCs w:val="21"/>
        </w:rPr>
        <w:t>车站、码头、机场的候车(船、机)楼设有送回风道(管)的集中空气</w:t>
      </w:r>
      <w:r>
        <w:rPr>
          <w:rFonts w:ascii="宋体" w:hAnsi="宋体" w:eastAsia="宋体" w:cs="宋体"/>
          <w:spacing w:val="-3"/>
          <w:sz w:val="21"/>
          <w:szCs w:val="21"/>
        </w:rPr>
        <w:t>调节系统且总建筑面积大于3000m²时，应设置湿式</w:t>
      </w:r>
      <w:r>
        <w:rPr>
          <w:rFonts w:ascii="宋体" w:hAnsi="宋体" w:eastAsia="宋体" w:cs="宋体"/>
          <w:spacing w:val="-4"/>
          <w:sz w:val="21"/>
          <w:szCs w:val="21"/>
        </w:rPr>
        <w:t>系统。</w:t>
      </w:r>
    </w:p>
    <w:p>
      <w:pPr>
        <w:spacing w:before="78" w:line="255" w:lineRule="auto"/>
        <w:rPr>
          <w:rFonts w:ascii="宋体" w:hAnsi="宋体" w:eastAsia="宋体" w:cs="宋体"/>
          <w:sz w:val="21"/>
          <w:szCs w:val="21"/>
        </w:rPr>
      </w:pPr>
      <w:r>
        <w:rPr>
          <w:rFonts w:ascii="宋体" w:hAnsi="宋体" w:eastAsia="宋体" w:cs="宋体"/>
          <w:spacing w:val="8"/>
          <w:sz w:val="21"/>
          <w:szCs w:val="21"/>
        </w:rPr>
        <w:t>3.2.15除本标准另有规定和不宜用水保护或灭火</w:t>
      </w:r>
      <w:r>
        <w:rPr>
          <w:rFonts w:ascii="宋体" w:hAnsi="宋体" w:eastAsia="宋体" w:cs="宋体"/>
          <w:spacing w:val="7"/>
          <w:sz w:val="21"/>
          <w:szCs w:val="21"/>
        </w:rPr>
        <w:t>的场所外，</w:t>
      </w:r>
      <w:r>
        <w:rPr>
          <w:rFonts w:ascii="宋体" w:hAnsi="宋体" w:eastAsia="宋体" w:cs="宋体"/>
          <w:spacing w:val="1"/>
          <w:sz w:val="21"/>
          <w:szCs w:val="21"/>
        </w:rPr>
        <w:t>大、中型幼儿园(托儿所),老年人照料设施和残疾人康复训练设</w:t>
      </w:r>
      <w:r>
        <w:rPr>
          <w:rFonts w:ascii="宋体" w:hAnsi="宋体" w:eastAsia="宋体" w:cs="宋体"/>
          <w:spacing w:val="-9"/>
          <w:sz w:val="21"/>
          <w:szCs w:val="21"/>
        </w:rPr>
        <w:t>施的所有部位，应设置湿式系统。</w:t>
      </w:r>
    </w:p>
    <w:p>
      <w:pPr>
        <w:spacing w:before="59" w:line="261" w:lineRule="auto"/>
        <w:ind w:right="75"/>
        <w:rPr>
          <w:rFonts w:ascii="宋体" w:hAnsi="宋体" w:eastAsia="宋体" w:cs="宋体"/>
          <w:sz w:val="21"/>
          <w:szCs w:val="21"/>
        </w:rPr>
      </w:pPr>
      <w:r>
        <w:rPr>
          <w:rFonts w:ascii="宋体" w:hAnsi="宋体" w:eastAsia="宋体" w:cs="宋体"/>
          <w:spacing w:val="-1"/>
          <w:sz w:val="21"/>
          <w:szCs w:val="21"/>
        </w:rPr>
        <w:t>3.2.16除本标准另有规定和不宜用水保</w:t>
      </w:r>
      <w:r>
        <w:rPr>
          <w:rFonts w:ascii="宋体" w:hAnsi="宋体" w:eastAsia="宋体" w:cs="宋体"/>
          <w:spacing w:val="-2"/>
          <w:sz w:val="21"/>
          <w:szCs w:val="21"/>
        </w:rPr>
        <w:t>护或灭火的场所外，大</w:t>
      </w:r>
      <w:r>
        <w:rPr>
          <w:rFonts w:ascii="宋体" w:hAnsi="宋体" w:eastAsia="宋体" w:cs="宋体"/>
          <w:spacing w:val="6"/>
          <w:sz w:val="21"/>
          <w:szCs w:val="21"/>
        </w:rPr>
        <w:t>于5层或者体积大于10000</w:t>
      </w:r>
      <w:r>
        <w:rPr>
          <w:rFonts w:ascii="Times New Roman" w:hAnsi="Times New Roman" w:eastAsia="Times New Roman" w:cs="Times New Roman"/>
          <w:spacing w:val="6"/>
          <w:sz w:val="21"/>
          <w:szCs w:val="21"/>
        </w:rPr>
        <w:t>m³,</w:t>
      </w:r>
      <w:r>
        <w:rPr>
          <w:rFonts w:ascii="宋体" w:hAnsi="宋体" w:eastAsia="宋体" w:cs="宋体"/>
          <w:spacing w:val="6"/>
          <w:sz w:val="21"/>
          <w:szCs w:val="21"/>
        </w:rPr>
        <w:t>且设有送回风道(管)的集中空气</w:t>
      </w:r>
      <w:r>
        <w:rPr>
          <w:rFonts w:ascii="宋体" w:hAnsi="宋体" w:eastAsia="宋体" w:cs="宋体"/>
          <w:spacing w:val="-3"/>
          <w:sz w:val="21"/>
          <w:szCs w:val="21"/>
        </w:rPr>
        <w:t>调节系统的宿舍应设置湿式系统。</w:t>
      </w:r>
    </w:p>
    <w:p>
      <w:pPr>
        <w:spacing w:before="59" w:line="261" w:lineRule="auto"/>
        <w:ind w:right="71"/>
        <w:rPr>
          <w:rFonts w:ascii="宋体" w:hAnsi="宋体" w:eastAsia="宋体" w:cs="宋体"/>
          <w:sz w:val="21"/>
          <w:szCs w:val="21"/>
        </w:rPr>
      </w:pPr>
      <w:r>
        <w:rPr>
          <w:rFonts w:ascii="宋体" w:hAnsi="宋体" w:eastAsia="宋体" w:cs="宋体"/>
          <w:spacing w:val="-1"/>
          <w:sz w:val="21"/>
          <w:szCs w:val="21"/>
        </w:rPr>
        <w:t>3.2.17除不宜用水保护或灭火的场所外，当文物</w:t>
      </w:r>
      <w:r>
        <w:rPr>
          <w:rFonts w:ascii="宋体" w:hAnsi="宋体" w:eastAsia="宋体" w:cs="宋体"/>
          <w:spacing w:val="-2"/>
          <w:sz w:val="21"/>
          <w:szCs w:val="21"/>
        </w:rPr>
        <w:t>建筑和优秀历</w:t>
      </w:r>
      <w:r>
        <w:rPr>
          <w:rFonts w:ascii="宋体" w:hAnsi="宋体" w:eastAsia="宋体" w:cs="宋体"/>
          <w:spacing w:val="-9"/>
          <w:sz w:val="21"/>
          <w:szCs w:val="21"/>
        </w:rPr>
        <w:t>史建筑为公共建筑时，应设置湿式系统；当其</w:t>
      </w:r>
      <w:r>
        <w:rPr>
          <w:rFonts w:ascii="宋体" w:hAnsi="宋体" w:eastAsia="宋体" w:cs="宋体"/>
          <w:spacing w:val="-10"/>
          <w:sz w:val="21"/>
          <w:szCs w:val="21"/>
        </w:rPr>
        <w:t>为住宅建筑时，其公</w:t>
      </w:r>
      <w:r>
        <w:rPr>
          <w:rFonts w:ascii="宋体" w:hAnsi="宋体" w:eastAsia="宋体" w:cs="宋体"/>
          <w:spacing w:val="-4"/>
          <w:sz w:val="21"/>
          <w:szCs w:val="21"/>
        </w:rPr>
        <w:t>共部位宜设置湿式系统。</w:t>
      </w:r>
    </w:p>
    <w:p>
      <w:pPr>
        <w:spacing w:before="62" w:line="255" w:lineRule="auto"/>
        <w:ind w:right="92"/>
        <w:rPr>
          <w:rFonts w:ascii="宋体" w:hAnsi="宋体" w:eastAsia="宋体" w:cs="宋体"/>
          <w:sz w:val="21"/>
          <w:szCs w:val="21"/>
        </w:rPr>
      </w:pPr>
      <w:r>
        <w:rPr>
          <w:rFonts w:ascii="宋体" w:hAnsi="宋体" w:eastAsia="宋体" w:cs="宋体"/>
          <w:spacing w:val="16"/>
          <w:sz w:val="21"/>
          <w:szCs w:val="21"/>
        </w:rPr>
        <w:t>3.2.18除不宜用水保护或灭火的场所外，建筑面积大于</w:t>
      </w:r>
      <w:r>
        <w:rPr>
          <w:rFonts w:ascii="Times New Roman" w:hAnsi="Times New Roman" w:eastAsia="Times New Roman" w:cs="Times New Roman"/>
          <w:spacing w:val="-2"/>
          <w:sz w:val="21"/>
          <w:szCs w:val="21"/>
        </w:rPr>
        <w:t>1000m²</w:t>
      </w:r>
      <w:r>
        <w:rPr>
          <w:rFonts w:ascii="宋体" w:hAnsi="宋体" w:eastAsia="宋体" w:cs="宋体"/>
          <w:spacing w:val="-2"/>
          <w:sz w:val="21"/>
          <w:szCs w:val="21"/>
        </w:rPr>
        <w:t>的地下工程、建筑面积大于1000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且平时使用的人民</w:t>
      </w:r>
      <w:r>
        <w:rPr>
          <w:rFonts w:ascii="宋体" w:hAnsi="宋体" w:eastAsia="宋体" w:cs="宋体"/>
          <w:spacing w:val="-4"/>
          <w:sz w:val="21"/>
          <w:szCs w:val="21"/>
        </w:rPr>
        <w:t>防空工程应设置湿式系统。</w:t>
      </w:r>
    </w:p>
    <w:p>
      <w:pPr>
        <w:spacing w:before="81" w:line="265" w:lineRule="auto"/>
        <w:ind w:right="88"/>
        <w:rPr>
          <w:rFonts w:ascii="宋体" w:hAnsi="宋体" w:eastAsia="宋体" w:cs="宋体"/>
          <w:sz w:val="21"/>
          <w:szCs w:val="21"/>
        </w:rPr>
      </w:pPr>
      <w:r>
        <w:rPr>
          <w:rFonts w:ascii="Times New Roman" w:hAnsi="Times New Roman" w:eastAsia="Times New Roman" w:cs="Times New Roman"/>
          <w:spacing w:val="-1"/>
          <w:sz w:val="21"/>
          <w:szCs w:val="21"/>
        </w:rPr>
        <w:t>3.2.19</w:t>
      </w:r>
      <w:r>
        <w:rPr>
          <w:rFonts w:ascii="宋体" w:hAnsi="宋体" w:eastAsia="宋体" w:cs="宋体"/>
          <w:spacing w:val="-1"/>
          <w:sz w:val="21"/>
          <w:szCs w:val="21"/>
        </w:rPr>
        <w:t>除敞开式汽车库可不设置自动灭火设施外，</w:t>
      </w:r>
      <w:r>
        <w:rPr>
          <w:rFonts w:ascii="Times New Roman" w:hAnsi="Times New Roman" w:eastAsia="Times New Roman" w:cs="Times New Roman"/>
          <w:spacing w:val="-1"/>
          <w:sz w:val="21"/>
          <w:szCs w:val="21"/>
        </w:rPr>
        <w:t>I</w:t>
      </w:r>
      <w:r>
        <w:rPr>
          <w:rFonts w:ascii="宋体" w:hAnsi="宋体" w:eastAsia="宋体" w:cs="宋体"/>
          <w:spacing w:val="-1"/>
          <w:sz w:val="21"/>
          <w:szCs w:val="21"/>
        </w:rPr>
        <w:t>、</w:t>
      </w:r>
      <w:r>
        <w:rPr>
          <w:rFonts w:ascii="Times New Roman" w:hAnsi="Times New Roman" w:eastAsia="Times New Roman" w:cs="Times New Roman"/>
          <w:spacing w:val="-1"/>
          <w:sz w:val="21"/>
          <w:szCs w:val="21"/>
        </w:rPr>
        <w:t>Ⅱ</w:t>
      </w:r>
      <w:r>
        <w:rPr>
          <w:rFonts w:ascii="宋体" w:hAnsi="宋体" w:eastAsia="宋体" w:cs="宋体"/>
          <w:spacing w:val="-1"/>
          <w:sz w:val="21"/>
          <w:szCs w:val="21"/>
        </w:rPr>
        <w:t>、</w:t>
      </w:r>
      <w:r>
        <w:rPr>
          <w:rFonts w:ascii="Times New Roman" w:hAnsi="Times New Roman" w:eastAsia="Times New Roman" w:cs="Times New Roman"/>
          <w:spacing w:val="-1"/>
          <w:sz w:val="21"/>
          <w:szCs w:val="21"/>
        </w:rPr>
        <w:t>Ⅲ</w:t>
      </w:r>
      <w:r>
        <w:rPr>
          <w:rFonts w:ascii="宋体" w:hAnsi="宋体" w:eastAsia="宋体" w:cs="宋体"/>
          <w:spacing w:val="-2"/>
          <w:sz w:val="21"/>
          <w:szCs w:val="21"/>
        </w:rPr>
        <w:t>类地上汽车库，停车数大于10辆的地下或半地下汽车</w:t>
      </w:r>
      <w:r>
        <w:rPr>
          <w:rFonts w:ascii="宋体" w:hAnsi="宋体" w:eastAsia="宋体" w:cs="宋体"/>
          <w:spacing w:val="-3"/>
          <w:sz w:val="21"/>
          <w:szCs w:val="21"/>
        </w:rPr>
        <w:t>库、机械式汽车库，采用汽车专用升降机作汽车疏散出口的汽</w:t>
      </w:r>
      <w:r>
        <w:rPr>
          <w:rFonts w:ascii="宋体" w:hAnsi="宋体" w:eastAsia="宋体" w:cs="宋体"/>
          <w:spacing w:val="-4"/>
          <w:sz w:val="21"/>
          <w:szCs w:val="21"/>
        </w:rPr>
        <w:t>车库，</w:t>
      </w:r>
      <w:r>
        <w:rPr>
          <w:rFonts w:ascii="Times New Roman" w:hAnsi="Times New Roman" w:eastAsia="Times New Roman" w:cs="Times New Roman"/>
          <w:spacing w:val="-4"/>
          <w:sz w:val="21"/>
          <w:szCs w:val="21"/>
        </w:rPr>
        <w:t>I</w:t>
      </w:r>
      <w:r>
        <w:rPr>
          <w:rFonts w:ascii="宋体" w:hAnsi="宋体" w:eastAsia="宋体" w:cs="宋体"/>
          <w:spacing w:val="-4"/>
          <w:sz w:val="21"/>
          <w:szCs w:val="21"/>
        </w:rPr>
        <w:t>类的</w:t>
      </w:r>
      <w:r>
        <w:rPr>
          <w:rFonts w:ascii="宋体" w:hAnsi="宋体" w:eastAsia="宋体" w:cs="宋体"/>
          <w:spacing w:val="-3"/>
          <w:sz w:val="21"/>
          <w:szCs w:val="21"/>
        </w:rPr>
        <w:t>机动修车库应设置湿式系统。</w:t>
      </w:r>
    </w:p>
    <w:p>
      <w:pPr>
        <w:spacing w:before="52" w:line="219" w:lineRule="auto"/>
        <w:rPr>
          <w:rFonts w:ascii="宋体" w:hAnsi="宋体" w:eastAsia="宋体" w:cs="宋体"/>
          <w:sz w:val="21"/>
          <w:szCs w:val="21"/>
        </w:rPr>
      </w:pPr>
      <w:r>
        <w:rPr>
          <w:rFonts w:ascii="宋体" w:hAnsi="宋体" w:eastAsia="宋体" w:cs="宋体"/>
          <w:spacing w:val="-1"/>
          <w:sz w:val="21"/>
          <w:szCs w:val="21"/>
        </w:rPr>
        <w:t>3.2.20剧场的自动喷水灭火系统设置应符合下列规定：</w:t>
      </w:r>
    </w:p>
    <w:p>
      <w:pPr>
        <w:spacing w:before="70" w:line="275" w:lineRule="auto"/>
        <w:ind w:right="32" w:firstLine="462"/>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特等和甲等剧场，座位数大于1500个的乙等剧场，位于</w:t>
      </w:r>
      <w:r>
        <w:rPr>
          <w:rFonts w:ascii="宋体" w:hAnsi="宋体" w:eastAsia="宋体" w:cs="宋体"/>
          <w:spacing w:val="1"/>
          <w:sz w:val="21"/>
          <w:szCs w:val="21"/>
        </w:rPr>
        <w:t>地下或半地下且座位数大于800个的剧场，或设有风管的集中空</w:t>
      </w:r>
    </w:p>
    <w:p>
      <w:pPr>
        <w:spacing w:line="275" w:lineRule="auto"/>
        <w:rPr>
          <w:rFonts w:ascii="宋体" w:hAnsi="宋体" w:eastAsia="宋体" w:cs="宋体"/>
          <w:sz w:val="21"/>
          <w:szCs w:val="21"/>
        </w:rPr>
        <w:sectPr>
          <w:footerReference r:id="rId20" w:type="default"/>
          <w:pgSz w:w="8280" w:h="11850"/>
          <w:pgMar w:top="1007" w:right="1165" w:bottom="1390" w:left="1200" w:header="0" w:footer="1117" w:gutter="0"/>
          <w:cols w:space="720" w:num="1"/>
        </w:sectPr>
      </w:pPr>
    </w:p>
    <w:p>
      <w:pPr>
        <w:spacing w:before="249" w:line="288" w:lineRule="auto"/>
        <w:ind w:right="71"/>
        <w:jc w:val="both"/>
        <w:rPr>
          <w:rFonts w:ascii="宋体" w:hAnsi="宋体" w:eastAsia="宋体" w:cs="宋体"/>
          <w:sz w:val="20"/>
          <w:szCs w:val="20"/>
        </w:rPr>
      </w:pPr>
      <w:r>
        <w:rPr>
          <w:rFonts w:ascii="宋体" w:hAnsi="宋体" w:eastAsia="宋体" w:cs="宋体"/>
          <w:spacing w:val="10"/>
          <w:sz w:val="20"/>
          <w:szCs w:val="20"/>
        </w:rPr>
        <w:t>气调节系统剧院的观众厅、观众等候区(前厅)和人员休息</w:t>
      </w:r>
      <w:r>
        <w:rPr>
          <w:rFonts w:ascii="宋体" w:hAnsi="宋体" w:eastAsia="宋体" w:cs="宋体"/>
          <w:spacing w:val="9"/>
          <w:sz w:val="20"/>
          <w:szCs w:val="20"/>
        </w:rPr>
        <w:t>厅、化</w:t>
      </w:r>
      <w:r>
        <w:rPr>
          <w:rFonts w:ascii="宋体" w:hAnsi="宋体" w:eastAsia="宋体" w:cs="宋体"/>
          <w:spacing w:val="-4"/>
          <w:sz w:val="20"/>
          <w:szCs w:val="20"/>
        </w:rPr>
        <w:t>妆室、道具室、储藏室、贵宾室、办公室、</w:t>
      </w:r>
      <w:r>
        <w:rPr>
          <w:rFonts w:ascii="宋体" w:hAnsi="宋体" w:eastAsia="宋体" w:cs="宋体"/>
          <w:spacing w:val="-5"/>
          <w:sz w:val="20"/>
          <w:szCs w:val="20"/>
        </w:rPr>
        <w:t>走道、空调机房和吊顶夹</w:t>
      </w:r>
      <w:r>
        <w:rPr>
          <w:rFonts w:ascii="宋体" w:hAnsi="宋体" w:eastAsia="宋体" w:cs="宋体"/>
          <w:spacing w:val="8"/>
          <w:sz w:val="20"/>
          <w:szCs w:val="20"/>
        </w:rPr>
        <w:t>层内等部位应设置湿式系统。</w:t>
      </w:r>
    </w:p>
    <w:p>
      <w:pPr>
        <w:spacing w:before="16" w:line="251" w:lineRule="auto"/>
        <w:ind w:right="84" w:firstLine="420"/>
        <w:rPr>
          <w:rFonts w:ascii="宋体" w:hAnsi="宋体" w:eastAsia="宋体" w:cs="宋体"/>
          <w:sz w:val="20"/>
          <w:szCs w:val="20"/>
        </w:rPr>
      </w:pPr>
      <w:r>
        <w:rPr>
          <w:rFonts w:ascii="宋体" w:hAnsi="宋体" w:eastAsia="宋体" w:cs="宋体"/>
          <w:spacing w:val="12"/>
          <w:sz w:val="20"/>
          <w:szCs w:val="20"/>
        </w:rPr>
        <w:t>2特等和甲等剧场，座位数大于1500个的乙等剧场舞台的</w:t>
      </w:r>
      <w:r>
        <w:rPr>
          <w:rFonts w:ascii="宋体" w:hAnsi="宋体" w:eastAsia="宋体" w:cs="宋体"/>
          <w:spacing w:val="9"/>
          <w:sz w:val="20"/>
          <w:szCs w:val="20"/>
        </w:rPr>
        <w:t>葡萄架下部和设葡萄架的排练厅应设置雨淋系统。</w:t>
      </w:r>
    </w:p>
    <w:p>
      <w:pPr>
        <w:spacing w:before="102" w:line="273" w:lineRule="auto"/>
        <w:ind w:firstLine="420"/>
        <w:rPr>
          <w:rFonts w:ascii="宋体" w:hAnsi="宋体" w:eastAsia="宋体" w:cs="宋体"/>
          <w:sz w:val="20"/>
          <w:szCs w:val="20"/>
        </w:rPr>
      </w:pPr>
      <w:r>
        <w:rPr>
          <w:rFonts w:ascii="宋体" w:hAnsi="宋体" w:eastAsia="宋体" w:cs="宋体"/>
          <w:spacing w:val="12"/>
          <w:sz w:val="20"/>
          <w:szCs w:val="20"/>
        </w:rPr>
        <w:t>3特等和甲等剧场，座位数大于1500个的乙等剧场、高层</w:t>
      </w:r>
      <w:r>
        <w:rPr>
          <w:rFonts w:ascii="宋体" w:hAnsi="宋体" w:eastAsia="宋体" w:cs="宋体"/>
          <w:spacing w:val="16"/>
          <w:sz w:val="20"/>
          <w:szCs w:val="20"/>
        </w:rPr>
        <w:t>民用建筑内超过800个座位的剧场的舞台口，舞台</w:t>
      </w:r>
      <w:r>
        <w:rPr>
          <w:rFonts w:ascii="宋体" w:hAnsi="宋体" w:eastAsia="宋体" w:cs="宋体"/>
          <w:spacing w:val="15"/>
          <w:sz w:val="20"/>
          <w:szCs w:val="20"/>
        </w:rPr>
        <w:t>相连的侧台、</w:t>
      </w:r>
      <w:r>
        <w:rPr>
          <w:rFonts w:ascii="宋体" w:hAnsi="宋体" w:eastAsia="宋体" w:cs="宋体"/>
          <w:spacing w:val="17"/>
          <w:sz w:val="20"/>
          <w:szCs w:val="20"/>
        </w:rPr>
        <w:t>后台的门窗洞口(设有防火门和防火幕的除外)以及人防工程中</w:t>
      </w:r>
      <w:r>
        <w:rPr>
          <w:rFonts w:ascii="宋体" w:hAnsi="宋体" w:eastAsia="宋体" w:cs="宋体"/>
          <w:spacing w:val="11"/>
          <w:sz w:val="20"/>
          <w:szCs w:val="20"/>
        </w:rPr>
        <w:t>舞台使用面积大于200</w:t>
      </w:r>
      <w:r>
        <w:rPr>
          <w:rFonts w:ascii="Times New Roman" w:hAnsi="Times New Roman" w:eastAsia="Times New Roman" w:cs="Times New Roman"/>
          <w:spacing w:val="11"/>
          <w:sz w:val="20"/>
          <w:szCs w:val="20"/>
        </w:rPr>
        <w:t>m²</w:t>
      </w:r>
      <w:r>
        <w:rPr>
          <w:rFonts w:ascii="宋体" w:hAnsi="宋体" w:eastAsia="宋体" w:cs="宋体"/>
          <w:spacing w:val="11"/>
          <w:sz w:val="20"/>
          <w:szCs w:val="20"/>
        </w:rPr>
        <w:t>时观众厅与舞台之间的台口应设置水</w:t>
      </w:r>
      <w:r>
        <w:rPr>
          <w:rFonts w:ascii="宋体" w:hAnsi="宋体" w:eastAsia="宋体" w:cs="宋体"/>
          <w:spacing w:val="5"/>
          <w:sz w:val="20"/>
          <w:szCs w:val="20"/>
        </w:rPr>
        <w:t>幕系统。</w:t>
      </w:r>
    </w:p>
    <w:p>
      <w:pPr>
        <w:spacing w:before="93" w:line="298" w:lineRule="auto"/>
        <w:ind w:right="72"/>
        <w:rPr>
          <w:rFonts w:ascii="宋体" w:hAnsi="宋体" w:eastAsia="宋体" w:cs="宋体"/>
          <w:sz w:val="20"/>
          <w:szCs w:val="20"/>
        </w:rPr>
      </w:pPr>
      <w:r>
        <w:rPr>
          <w:rFonts w:ascii="宋体" w:hAnsi="宋体" w:eastAsia="宋体" w:cs="宋体"/>
          <w:spacing w:val="9"/>
          <w:sz w:val="20"/>
          <w:szCs w:val="20"/>
        </w:rPr>
        <w:t>3.2.21会堂、礼堂和演播室、电影院(</w:t>
      </w:r>
      <w:r>
        <w:rPr>
          <w:rFonts w:ascii="宋体" w:hAnsi="宋体" w:eastAsia="宋体" w:cs="宋体"/>
          <w:spacing w:val="8"/>
          <w:sz w:val="20"/>
          <w:szCs w:val="20"/>
        </w:rPr>
        <w:t>摄影棚)的自动喷水灭火</w:t>
      </w:r>
      <w:r>
        <w:rPr>
          <w:rFonts w:ascii="宋体" w:hAnsi="宋体" w:eastAsia="宋体" w:cs="宋体"/>
          <w:spacing w:val="6"/>
          <w:sz w:val="20"/>
          <w:szCs w:val="20"/>
        </w:rPr>
        <w:t>系统设置应符合下列规定：</w:t>
      </w:r>
    </w:p>
    <w:p>
      <w:pPr>
        <w:spacing w:before="5" w:line="270" w:lineRule="auto"/>
        <w:ind w:right="88" w:firstLine="420"/>
        <w:rPr>
          <w:rFonts w:ascii="宋体" w:hAnsi="宋体" w:eastAsia="宋体" w:cs="宋体"/>
          <w:sz w:val="20"/>
          <w:szCs w:val="20"/>
        </w:rPr>
      </w:pPr>
      <w:r>
        <w:rPr>
          <w:rFonts w:ascii="宋体" w:hAnsi="宋体" w:eastAsia="宋体" w:cs="宋体"/>
          <w:spacing w:val="28"/>
          <w:sz w:val="20"/>
          <w:szCs w:val="20"/>
        </w:rPr>
        <w:t>1大于2000个座位、位于地下或半地下</w:t>
      </w:r>
      <w:r>
        <w:rPr>
          <w:rFonts w:ascii="宋体" w:hAnsi="宋体" w:eastAsia="宋体" w:cs="宋体"/>
          <w:spacing w:val="27"/>
          <w:sz w:val="20"/>
          <w:szCs w:val="20"/>
        </w:rPr>
        <w:t>且座位数大于</w:t>
      </w:r>
      <w:r>
        <w:rPr>
          <w:rFonts w:ascii="宋体" w:hAnsi="宋体" w:eastAsia="宋体" w:cs="宋体"/>
          <w:spacing w:val="16"/>
          <w:sz w:val="20"/>
          <w:szCs w:val="20"/>
        </w:rPr>
        <w:t>800个座位和人防工程中大于300个座位</w:t>
      </w:r>
      <w:r>
        <w:rPr>
          <w:rFonts w:ascii="宋体" w:hAnsi="宋体" w:eastAsia="宋体" w:cs="宋体"/>
          <w:spacing w:val="15"/>
          <w:sz w:val="20"/>
          <w:szCs w:val="20"/>
        </w:rPr>
        <w:t>的会堂、礼堂和电影院</w:t>
      </w:r>
      <w:r>
        <w:rPr>
          <w:rFonts w:ascii="宋体" w:hAnsi="宋体" w:eastAsia="宋体" w:cs="宋体"/>
          <w:spacing w:val="-5"/>
          <w:sz w:val="20"/>
          <w:szCs w:val="20"/>
        </w:rPr>
        <w:t>的会场、观众厅、储藏室、贵宾室、办公室、走道和空调机房应设置</w:t>
      </w:r>
      <w:r>
        <w:rPr>
          <w:rFonts w:ascii="宋体" w:hAnsi="宋体" w:eastAsia="宋体" w:cs="宋体"/>
          <w:spacing w:val="3"/>
          <w:sz w:val="20"/>
          <w:szCs w:val="20"/>
        </w:rPr>
        <w:t>湿式系统。</w:t>
      </w:r>
    </w:p>
    <w:p>
      <w:pPr>
        <w:spacing w:before="98" w:line="253" w:lineRule="auto"/>
        <w:ind w:right="88" w:firstLine="420"/>
        <w:rPr>
          <w:rFonts w:ascii="宋体" w:hAnsi="宋体" w:eastAsia="宋体" w:cs="宋体"/>
          <w:sz w:val="20"/>
          <w:szCs w:val="20"/>
        </w:rPr>
      </w:pPr>
      <w:r>
        <w:rPr>
          <w:rFonts w:ascii="宋体" w:hAnsi="宋体" w:eastAsia="宋体" w:cs="宋体"/>
          <w:spacing w:val="12"/>
          <w:sz w:val="20"/>
          <w:szCs w:val="20"/>
        </w:rPr>
        <w:t>2大于2000个座位的会堂、礼堂的舞台葡萄架下部、</w:t>
      </w:r>
      <w:r>
        <w:rPr>
          <w:rFonts w:ascii="宋体" w:hAnsi="宋体" w:eastAsia="宋体" w:cs="宋体"/>
          <w:spacing w:val="11"/>
          <w:sz w:val="20"/>
          <w:szCs w:val="20"/>
        </w:rPr>
        <w:t>建筑</w:t>
      </w:r>
      <w:r>
        <w:rPr>
          <w:rFonts w:ascii="宋体" w:hAnsi="宋体" w:eastAsia="宋体" w:cs="宋体"/>
          <w:spacing w:val="25"/>
          <w:sz w:val="20"/>
          <w:szCs w:val="20"/>
        </w:rPr>
        <w:t>面积大于或等于400</w:t>
      </w:r>
      <w:r>
        <w:rPr>
          <w:rFonts w:ascii="Times New Roman" w:hAnsi="Times New Roman" w:eastAsia="Times New Roman" w:cs="Times New Roman"/>
          <w:spacing w:val="25"/>
          <w:sz w:val="20"/>
          <w:szCs w:val="20"/>
        </w:rPr>
        <w:t>m²</w:t>
      </w:r>
      <w:r>
        <w:rPr>
          <w:rFonts w:ascii="宋体" w:hAnsi="宋体" w:eastAsia="宋体" w:cs="宋体"/>
          <w:spacing w:val="25"/>
          <w:sz w:val="20"/>
          <w:szCs w:val="20"/>
        </w:rPr>
        <w:t>的演播室以及建筑面积大于或等于</w:t>
      </w:r>
    </w:p>
    <w:p>
      <w:pPr>
        <w:spacing w:before="71" w:line="218" w:lineRule="auto"/>
        <w:rPr>
          <w:rFonts w:ascii="宋体" w:hAnsi="宋体" w:eastAsia="宋体" w:cs="宋体"/>
          <w:sz w:val="20"/>
          <w:szCs w:val="20"/>
        </w:rPr>
      </w:pPr>
      <w:r>
        <w:rPr>
          <w:rFonts w:ascii="Times New Roman" w:hAnsi="Times New Roman" w:eastAsia="Times New Roman" w:cs="Times New Roman"/>
          <w:spacing w:val="6"/>
          <w:sz w:val="20"/>
          <w:szCs w:val="20"/>
        </w:rPr>
        <w:t>500m²</w:t>
      </w:r>
      <w:r>
        <w:rPr>
          <w:rFonts w:ascii="宋体" w:hAnsi="宋体" w:eastAsia="宋体" w:cs="宋体"/>
          <w:spacing w:val="6"/>
          <w:sz w:val="20"/>
          <w:szCs w:val="20"/>
        </w:rPr>
        <w:t>的电影摄影棚应设置雨淋系统。</w:t>
      </w:r>
    </w:p>
    <w:p>
      <w:pPr>
        <w:spacing w:before="86" w:line="276" w:lineRule="auto"/>
        <w:ind w:right="84" w:firstLine="420"/>
        <w:rPr>
          <w:rFonts w:ascii="宋体" w:hAnsi="宋体" w:eastAsia="宋体" w:cs="宋体"/>
          <w:sz w:val="20"/>
          <w:szCs w:val="20"/>
        </w:rPr>
      </w:pPr>
      <w:r>
        <w:rPr>
          <w:rFonts w:ascii="宋体" w:hAnsi="宋体" w:eastAsia="宋体" w:cs="宋体"/>
          <w:spacing w:val="15"/>
          <w:sz w:val="20"/>
          <w:szCs w:val="20"/>
        </w:rPr>
        <w:t>3大于2000个座位的会堂、礼堂，高层建筑中大于8</w:t>
      </w:r>
      <w:r>
        <w:rPr>
          <w:rFonts w:ascii="宋体" w:hAnsi="宋体" w:eastAsia="宋体" w:cs="宋体"/>
          <w:spacing w:val="14"/>
          <w:sz w:val="20"/>
          <w:szCs w:val="20"/>
        </w:rPr>
        <w:t>00个</w:t>
      </w:r>
      <w:r>
        <w:rPr>
          <w:rFonts w:ascii="宋体" w:hAnsi="宋体" w:eastAsia="宋体" w:cs="宋体"/>
          <w:spacing w:val="15"/>
          <w:sz w:val="20"/>
          <w:szCs w:val="20"/>
        </w:rPr>
        <w:t>座位和人防工程中舞台使用面积大于200</w:t>
      </w:r>
      <w:r>
        <w:rPr>
          <w:rFonts w:ascii="Times New Roman" w:hAnsi="Times New Roman" w:eastAsia="Times New Roman" w:cs="Times New Roman"/>
          <w:spacing w:val="15"/>
          <w:sz w:val="20"/>
          <w:szCs w:val="20"/>
        </w:rPr>
        <w:t>m²</w:t>
      </w:r>
      <w:r>
        <w:rPr>
          <w:rFonts w:ascii="宋体" w:hAnsi="宋体" w:eastAsia="宋体" w:cs="宋体"/>
          <w:spacing w:val="15"/>
          <w:sz w:val="20"/>
          <w:szCs w:val="20"/>
        </w:rPr>
        <w:t>的礼堂舞台口，以</w:t>
      </w:r>
      <w:r>
        <w:rPr>
          <w:rFonts w:ascii="宋体" w:hAnsi="宋体" w:eastAsia="宋体" w:cs="宋体"/>
          <w:spacing w:val="13"/>
          <w:sz w:val="20"/>
          <w:szCs w:val="20"/>
        </w:rPr>
        <w:t>及与舞台相连的侧台，后台的门窗洞口(设有防火门和防火幕的</w:t>
      </w:r>
      <w:r>
        <w:rPr>
          <w:rFonts w:ascii="宋体" w:hAnsi="宋体" w:eastAsia="宋体" w:cs="宋体"/>
          <w:spacing w:val="7"/>
          <w:sz w:val="20"/>
          <w:szCs w:val="20"/>
        </w:rPr>
        <w:t>除外)应设置水幕系统。</w:t>
      </w:r>
    </w:p>
    <w:p>
      <w:pPr>
        <w:spacing w:before="74" w:line="294" w:lineRule="auto"/>
        <w:ind w:right="63" w:firstLine="2"/>
        <w:rPr>
          <w:rFonts w:ascii="宋体" w:hAnsi="宋体" w:eastAsia="宋体" w:cs="宋体"/>
          <w:sz w:val="20"/>
          <w:szCs w:val="20"/>
        </w:rPr>
      </w:pPr>
      <w:r>
        <w:rPr>
          <w:rFonts w:ascii="宋体" w:hAnsi="宋体" w:eastAsia="宋体" w:cs="宋体"/>
          <w:b/>
          <w:bCs/>
          <w:spacing w:val="1"/>
          <w:sz w:val="20"/>
          <w:szCs w:val="20"/>
        </w:rPr>
        <w:t>3.2.22</w:t>
      </w:r>
      <w:r>
        <w:rPr>
          <w:rFonts w:ascii="宋体" w:hAnsi="宋体" w:eastAsia="宋体" w:cs="宋体"/>
          <w:spacing w:val="1"/>
          <w:sz w:val="20"/>
          <w:szCs w:val="20"/>
        </w:rPr>
        <w:t>除本标准另有规定和不宜用水保护</w:t>
      </w:r>
      <w:r>
        <w:rPr>
          <w:rFonts w:ascii="宋体" w:hAnsi="宋体" w:eastAsia="宋体" w:cs="宋体"/>
          <w:sz w:val="20"/>
          <w:szCs w:val="20"/>
        </w:rPr>
        <w:t>或灭火的场所外，体育</w:t>
      </w:r>
      <w:r>
        <w:rPr>
          <w:rFonts w:ascii="宋体" w:hAnsi="宋体" w:eastAsia="宋体" w:cs="宋体"/>
          <w:spacing w:val="-4"/>
          <w:sz w:val="20"/>
          <w:szCs w:val="20"/>
        </w:rPr>
        <w:t>馆、体育场当符合下列情况之一时，其所有部位应设置湿式系统：</w:t>
      </w:r>
    </w:p>
    <w:p>
      <w:pPr>
        <w:spacing w:line="216" w:lineRule="auto"/>
        <w:ind w:left="420"/>
        <w:rPr>
          <w:rFonts w:ascii="宋体" w:hAnsi="宋体" w:eastAsia="宋体" w:cs="宋体"/>
          <w:sz w:val="20"/>
          <w:szCs w:val="20"/>
        </w:rPr>
      </w:pPr>
      <w:r>
        <w:rPr>
          <w:rFonts w:ascii="宋体" w:hAnsi="宋体" w:eastAsia="宋体" w:cs="宋体"/>
          <w:spacing w:val="15"/>
          <w:sz w:val="20"/>
          <w:szCs w:val="20"/>
        </w:rPr>
        <w:t>1建筑高度不大于18m,且座位数大于300</w:t>
      </w:r>
      <w:r>
        <w:rPr>
          <w:rFonts w:ascii="宋体" w:hAnsi="宋体" w:eastAsia="宋体" w:cs="宋体"/>
          <w:spacing w:val="14"/>
          <w:sz w:val="20"/>
          <w:szCs w:val="20"/>
        </w:rPr>
        <w:t>0个的体育馆。</w:t>
      </w:r>
    </w:p>
    <w:p>
      <w:pPr>
        <w:spacing w:before="78" w:line="253" w:lineRule="auto"/>
        <w:ind w:right="92" w:firstLine="420"/>
        <w:rPr>
          <w:rFonts w:ascii="宋体" w:hAnsi="宋体" w:eastAsia="宋体" w:cs="宋体"/>
          <w:sz w:val="20"/>
          <w:szCs w:val="20"/>
        </w:rPr>
      </w:pPr>
      <w:r>
        <w:rPr>
          <w:rFonts w:ascii="宋体" w:hAnsi="宋体" w:eastAsia="宋体" w:cs="宋体"/>
          <w:spacing w:val="19"/>
          <w:sz w:val="20"/>
          <w:szCs w:val="20"/>
        </w:rPr>
        <w:t>2座位数大于5000个的体育场的室内人员休息室与器材</w:t>
      </w:r>
      <w:r>
        <w:rPr>
          <w:rFonts w:ascii="宋体" w:hAnsi="宋体" w:eastAsia="宋体" w:cs="宋体"/>
          <w:sz w:val="20"/>
          <w:szCs w:val="20"/>
        </w:rPr>
        <w:t>间等。</w:t>
      </w:r>
    </w:p>
    <w:p>
      <w:pPr>
        <w:spacing w:before="81" w:line="219" w:lineRule="auto"/>
        <w:ind w:left="2"/>
        <w:rPr>
          <w:rFonts w:ascii="宋体" w:hAnsi="宋体" w:eastAsia="宋体" w:cs="宋体"/>
          <w:sz w:val="20"/>
          <w:szCs w:val="20"/>
        </w:rPr>
      </w:pPr>
      <w:r>
        <w:rPr>
          <w:rFonts w:ascii="宋体" w:hAnsi="宋体" w:eastAsia="宋体" w:cs="宋体"/>
          <w:b/>
          <w:bCs/>
          <w:spacing w:val="15"/>
          <w:sz w:val="20"/>
          <w:szCs w:val="20"/>
        </w:rPr>
        <w:t>3.2.23</w:t>
      </w:r>
      <w:r>
        <w:rPr>
          <w:rFonts w:ascii="宋体" w:hAnsi="宋体" w:eastAsia="宋体" w:cs="宋体"/>
          <w:spacing w:val="15"/>
          <w:sz w:val="20"/>
          <w:szCs w:val="20"/>
        </w:rPr>
        <w:t>不做防火涂料或防火板保</w:t>
      </w:r>
      <w:r>
        <w:rPr>
          <w:rFonts w:ascii="宋体" w:hAnsi="宋体" w:eastAsia="宋体" w:cs="宋体"/>
          <w:spacing w:val="14"/>
          <w:sz w:val="20"/>
          <w:szCs w:val="20"/>
        </w:rPr>
        <w:t>护的下列部位或场所的屋顶</w:t>
      </w:r>
    </w:p>
    <w:p>
      <w:pPr>
        <w:spacing w:line="219" w:lineRule="auto"/>
        <w:rPr>
          <w:rFonts w:ascii="宋体" w:hAnsi="宋体" w:eastAsia="宋体" w:cs="宋体"/>
          <w:sz w:val="20"/>
          <w:szCs w:val="20"/>
        </w:rPr>
        <w:sectPr>
          <w:footerReference r:id="rId21" w:type="default"/>
          <w:pgSz w:w="8280" w:h="11850"/>
          <w:pgMar w:top="1007" w:right="1140" w:bottom="1381" w:left="1179" w:header="0" w:footer="1122" w:gutter="0"/>
          <w:cols w:space="720" w:num="1"/>
        </w:sectPr>
      </w:pPr>
    </w:p>
    <w:p>
      <w:pPr>
        <w:spacing w:before="241" w:line="219" w:lineRule="auto"/>
        <w:rPr>
          <w:rFonts w:ascii="宋体" w:hAnsi="宋体" w:eastAsia="宋体" w:cs="宋体"/>
          <w:sz w:val="21"/>
          <w:szCs w:val="21"/>
        </w:rPr>
      </w:pPr>
      <w:bookmarkStart w:id="11" w:name="bookmark79"/>
      <w:bookmarkEnd w:id="11"/>
      <w:r>
        <w:rPr>
          <w:rFonts w:ascii="宋体" w:hAnsi="宋体" w:eastAsia="宋体" w:cs="宋体"/>
          <w:spacing w:val="-2"/>
          <w:sz w:val="21"/>
          <w:szCs w:val="21"/>
        </w:rPr>
        <w:t>金属承重结构应设置湿式系统：</w:t>
      </w:r>
    </w:p>
    <w:p>
      <w:pPr>
        <w:spacing w:before="80" w:line="219" w:lineRule="auto"/>
        <w:ind w:left="412"/>
        <w:rPr>
          <w:rFonts w:ascii="宋体" w:hAnsi="宋体" w:eastAsia="宋体" w:cs="宋体"/>
          <w:sz w:val="21"/>
          <w:szCs w:val="21"/>
        </w:rPr>
      </w:pPr>
      <w:r>
        <w:rPr>
          <w:rFonts w:ascii="宋体" w:hAnsi="宋体" w:eastAsia="宋体" w:cs="宋体"/>
          <w:b/>
          <w:bCs/>
          <w:spacing w:val="5"/>
          <w:sz w:val="21"/>
          <w:szCs w:val="21"/>
        </w:rPr>
        <w:t>1</w:t>
      </w:r>
      <w:r>
        <w:rPr>
          <w:rFonts w:ascii="宋体" w:hAnsi="宋体" w:eastAsia="宋体" w:cs="宋体"/>
          <w:spacing w:val="5"/>
          <w:sz w:val="21"/>
          <w:szCs w:val="21"/>
        </w:rPr>
        <w:t>大于800个座位的剧院。</w:t>
      </w:r>
    </w:p>
    <w:p>
      <w:pPr>
        <w:spacing w:before="49" w:line="219" w:lineRule="auto"/>
        <w:ind w:left="412"/>
        <w:rPr>
          <w:rFonts w:ascii="宋体" w:hAnsi="宋体" w:eastAsia="宋体" w:cs="宋体"/>
          <w:sz w:val="21"/>
          <w:szCs w:val="21"/>
        </w:rPr>
      </w:pPr>
      <w:r>
        <w:rPr>
          <w:rFonts w:ascii="宋体" w:hAnsi="宋体" w:eastAsia="宋体" w:cs="宋体"/>
          <w:b/>
          <w:bCs/>
          <w:spacing w:val="10"/>
          <w:sz w:val="21"/>
          <w:szCs w:val="21"/>
        </w:rPr>
        <w:t>2</w:t>
      </w:r>
      <w:r>
        <w:rPr>
          <w:rFonts w:ascii="宋体" w:hAnsi="宋体" w:eastAsia="宋体" w:cs="宋体"/>
          <w:spacing w:val="10"/>
          <w:sz w:val="21"/>
          <w:szCs w:val="21"/>
        </w:rPr>
        <w:t>大于2000个座位的会堂。</w:t>
      </w:r>
    </w:p>
    <w:p>
      <w:pPr>
        <w:spacing w:before="82" w:line="219" w:lineRule="auto"/>
        <w:ind w:left="412"/>
        <w:rPr>
          <w:rFonts w:ascii="宋体" w:hAnsi="宋体" w:eastAsia="宋体" w:cs="宋体"/>
          <w:sz w:val="21"/>
          <w:szCs w:val="21"/>
        </w:rPr>
      </w:pPr>
      <w:r>
        <w:rPr>
          <w:rFonts w:ascii="宋体" w:hAnsi="宋体" w:eastAsia="宋体" w:cs="宋体"/>
          <w:b/>
          <w:bCs/>
          <w:spacing w:val="6"/>
          <w:sz w:val="21"/>
          <w:szCs w:val="21"/>
        </w:rPr>
        <w:t>3</w:t>
      </w:r>
      <w:r>
        <w:rPr>
          <w:rFonts w:ascii="宋体" w:hAnsi="宋体" w:eastAsia="宋体" w:cs="宋体"/>
          <w:spacing w:val="6"/>
          <w:sz w:val="21"/>
          <w:szCs w:val="21"/>
        </w:rPr>
        <w:t>大于3000个座位的体育馆(游泳馆除</w:t>
      </w:r>
      <w:r>
        <w:rPr>
          <w:rFonts w:ascii="宋体" w:hAnsi="宋体" w:eastAsia="宋体" w:cs="宋体"/>
          <w:spacing w:val="5"/>
          <w:sz w:val="21"/>
          <w:szCs w:val="21"/>
        </w:rPr>
        <w:t>外)。</w:t>
      </w:r>
    </w:p>
    <w:p>
      <w:pPr>
        <w:spacing w:before="51" w:line="219" w:lineRule="auto"/>
        <w:ind w:left="412"/>
        <w:rPr>
          <w:rFonts w:ascii="宋体" w:hAnsi="宋体" w:eastAsia="宋体" w:cs="宋体"/>
          <w:sz w:val="21"/>
          <w:szCs w:val="21"/>
        </w:rPr>
      </w:pPr>
      <w:r>
        <w:rPr>
          <w:rFonts w:ascii="宋体" w:hAnsi="宋体" w:eastAsia="宋体" w:cs="宋体"/>
          <w:b/>
          <w:bCs/>
          <w:spacing w:val="-8"/>
          <w:sz w:val="21"/>
          <w:szCs w:val="21"/>
        </w:rPr>
        <w:t>4</w:t>
      </w:r>
      <w:r>
        <w:rPr>
          <w:rFonts w:ascii="宋体" w:hAnsi="宋体" w:eastAsia="宋体" w:cs="宋体"/>
          <w:spacing w:val="-8"/>
          <w:sz w:val="21"/>
          <w:szCs w:val="21"/>
        </w:rPr>
        <w:t>单、多层重要的公共建筑。</w:t>
      </w:r>
    </w:p>
    <w:p>
      <w:pPr>
        <w:spacing w:before="50" w:line="219" w:lineRule="auto"/>
        <w:ind w:left="412"/>
        <w:rPr>
          <w:rFonts w:ascii="宋体" w:hAnsi="宋体" w:eastAsia="宋体" w:cs="宋体"/>
          <w:sz w:val="21"/>
          <w:szCs w:val="21"/>
        </w:rPr>
      </w:pPr>
      <w:r>
        <w:rPr>
          <w:rFonts w:ascii="宋体" w:hAnsi="宋体" w:eastAsia="宋体" w:cs="宋体"/>
          <w:b/>
          <w:bCs/>
          <w:spacing w:val="-2"/>
          <w:sz w:val="21"/>
          <w:szCs w:val="21"/>
        </w:rPr>
        <w:t>5</w:t>
      </w:r>
      <w:r>
        <w:rPr>
          <w:rFonts w:ascii="宋体" w:hAnsi="宋体" w:eastAsia="宋体" w:cs="宋体"/>
          <w:spacing w:val="-2"/>
          <w:sz w:val="21"/>
          <w:szCs w:val="21"/>
        </w:rPr>
        <w:t>高层建筑及其裙房。</w:t>
      </w:r>
    </w:p>
    <w:p>
      <w:pPr>
        <w:spacing w:before="52" w:line="220" w:lineRule="auto"/>
        <w:ind w:left="412"/>
        <w:rPr>
          <w:rFonts w:ascii="宋体" w:hAnsi="宋体" w:eastAsia="宋体" w:cs="宋体"/>
          <w:sz w:val="21"/>
          <w:szCs w:val="21"/>
        </w:rPr>
      </w:pPr>
      <w:r>
        <w:rPr>
          <w:rFonts w:ascii="宋体" w:hAnsi="宋体" w:eastAsia="宋体" w:cs="宋体"/>
          <w:b/>
          <w:bCs/>
          <w:spacing w:val="-8"/>
          <w:sz w:val="21"/>
          <w:szCs w:val="21"/>
        </w:rPr>
        <w:t>6</w:t>
      </w:r>
      <w:r>
        <w:rPr>
          <w:rFonts w:ascii="宋体" w:hAnsi="宋体" w:eastAsia="宋体" w:cs="宋体"/>
          <w:spacing w:val="-8"/>
          <w:sz w:val="21"/>
          <w:szCs w:val="21"/>
        </w:rPr>
        <w:t>中庭。</w:t>
      </w:r>
    </w:p>
    <w:p>
      <w:pPr>
        <w:spacing w:before="88" w:line="255" w:lineRule="auto"/>
        <w:ind w:right="95" w:firstLine="3"/>
        <w:rPr>
          <w:rFonts w:ascii="宋体" w:hAnsi="宋体" w:eastAsia="宋体" w:cs="宋体"/>
          <w:sz w:val="21"/>
          <w:szCs w:val="21"/>
        </w:rPr>
      </w:pPr>
      <w:r>
        <w:rPr>
          <w:rFonts w:ascii="宋体" w:hAnsi="宋体" w:eastAsia="宋体" w:cs="宋体"/>
          <w:b/>
          <w:bCs/>
          <w:spacing w:val="4"/>
          <w:sz w:val="21"/>
          <w:szCs w:val="21"/>
        </w:rPr>
        <w:t>3.2.24</w:t>
      </w:r>
      <w:r>
        <w:rPr>
          <w:rFonts w:ascii="宋体" w:hAnsi="宋体" w:eastAsia="宋体" w:cs="宋体"/>
          <w:spacing w:val="4"/>
          <w:sz w:val="21"/>
          <w:szCs w:val="21"/>
        </w:rPr>
        <w:t>当封闭楼梯间和防烟楼梯间内采用不设外包敷不燃烧</w:t>
      </w:r>
      <w:r>
        <w:rPr>
          <w:rFonts w:ascii="宋体" w:hAnsi="宋体" w:eastAsia="宋体" w:cs="宋体"/>
          <w:spacing w:val="-2"/>
          <w:sz w:val="21"/>
          <w:szCs w:val="21"/>
        </w:rPr>
        <w:t>体或不喷涂防火涂料的金属楼梯时，其钢结构和楼梯间应设置湿</w:t>
      </w:r>
      <w:r>
        <w:rPr>
          <w:rFonts w:ascii="宋体" w:hAnsi="宋体" w:eastAsia="宋体" w:cs="宋体"/>
          <w:spacing w:val="-3"/>
          <w:sz w:val="21"/>
          <w:szCs w:val="21"/>
        </w:rPr>
        <w:t>式系统或自动喷水局部应用系统。</w:t>
      </w:r>
    </w:p>
    <w:p>
      <w:pPr>
        <w:spacing w:before="70" w:line="255" w:lineRule="auto"/>
        <w:ind w:right="83" w:firstLine="3"/>
        <w:rPr>
          <w:rFonts w:ascii="宋体" w:hAnsi="宋体" w:eastAsia="宋体" w:cs="宋体"/>
          <w:sz w:val="21"/>
          <w:szCs w:val="21"/>
        </w:rPr>
      </w:pPr>
      <w:r>
        <w:rPr>
          <w:rFonts w:ascii="宋体" w:hAnsi="宋体" w:eastAsia="宋体" w:cs="宋体"/>
          <w:b/>
          <w:bCs/>
          <w:spacing w:val="10"/>
          <w:sz w:val="21"/>
          <w:szCs w:val="21"/>
        </w:rPr>
        <w:t>3.2.25</w:t>
      </w:r>
      <w:r>
        <w:rPr>
          <w:rFonts w:ascii="宋体" w:hAnsi="宋体" w:eastAsia="宋体" w:cs="宋体"/>
          <w:spacing w:val="10"/>
          <w:sz w:val="21"/>
          <w:szCs w:val="21"/>
        </w:rPr>
        <w:t>当建筑内其他部位设置自动喷水灭火系统时，燃油</w:t>
      </w:r>
      <w:r>
        <w:rPr>
          <w:rFonts w:ascii="宋体" w:hAnsi="宋体" w:eastAsia="宋体" w:cs="宋体"/>
          <w:spacing w:val="-9"/>
          <w:sz w:val="21"/>
          <w:szCs w:val="21"/>
        </w:rPr>
        <w:t>(气)锅炉房、柴油发电机房、直燃式机组机房、分</w:t>
      </w:r>
      <w:r>
        <w:rPr>
          <w:rFonts w:ascii="宋体" w:hAnsi="宋体" w:eastAsia="宋体" w:cs="宋体"/>
          <w:spacing w:val="-10"/>
          <w:sz w:val="21"/>
          <w:szCs w:val="21"/>
        </w:rPr>
        <w:t>布供能站等机房</w:t>
      </w:r>
      <w:r>
        <w:rPr>
          <w:rFonts w:ascii="宋体" w:hAnsi="宋体" w:eastAsia="宋体" w:cs="宋体"/>
          <w:spacing w:val="-4"/>
          <w:sz w:val="21"/>
          <w:szCs w:val="21"/>
        </w:rPr>
        <w:t>内及日用油箱间应设置自动喷水灭火系统。</w:t>
      </w:r>
    </w:p>
    <w:p>
      <w:pPr>
        <w:spacing w:before="70" w:line="259" w:lineRule="auto"/>
        <w:ind w:right="88" w:firstLine="3"/>
        <w:rPr>
          <w:rFonts w:ascii="宋体" w:hAnsi="宋体" w:eastAsia="宋体" w:cs="宋体"/>
          <w:sz w:val="21"/>
          <w:szCs w:val="21"/>
        </w:rPr>
      </w:pPr>
      <w:r>
        <w:rPr>
          <w:rFonts w:ascii="宋体" w:hAnsi="宋体" w:eastAsia="宋体" w:cs="宋体"/>
          <w:b/>
          <w:bCs/>
          <w:spacing w:val="5"/>
          <w:sz w:val="21"/>
          <w:szCs w:val="21"/>
        </w:rPr>
        <w:t>3.2.26</w:t>
      </w:r>
      <w:r>
        <w:rPr>
          <w:rFonts w:ascii="宋体" w:hAnsi="宋体" w:eastAsia="宋体" w:cs="宋体"/>
          <w:spacing w:val="5"/>
          <w:sz w:val="21"/>
          <w:szCs w:val="21"/>
        </w:rPr>
        <w:t>应设防火墙等防火分隔物而无法设置的尺寸小于</w:t>
      </w:r>
      <w:r>
        <w:rPr>
          <w:rFonts w:ascii="宋体" w:hAnsi="宋体" w:eastAsia="宋体" w:cs="宋体"/>
          <w:spacing w:val="4"/>
          <w:sz w:val="21"/>
          <w:szCs w:val="21"/>
        </w:rPr>
        <w:t>或等</w:t>
      </w:r>
      <w:r>
        <w:rPr>
          <w:rFonts w:ascii="宋体" w:hAnsi="宋体" w:eastAsia="宋体" w:cs="宋体"/>
          <w:spacing w:val="2"/>
          <w:sz w:val="21"/>
          <w:szCs w:val="21"/>
        </w:rPr>
        <w:t>于15</w:t>
      </w:r>
      <w:r>
        <w:rPr>
          <w:rFonts w:ascii="Times New Roman" w:hAnsi="Times New Roman" w:eastAsia="Times New Roman" w:cs="Times New Roman"/>
          <w:spacing w:val="2"/>
          <w:sz w:val="21"/>
          <w:szCs w:val="21"/>
        </w:rPr>
        <w:t>m</w:t>
      </w:r>
      <w:r>
        <w:rPr>
          <w:rFonts w:ascii="宋体" w:hAnsi="宋体" w:eastAsia="宋体" w:cs="宋体"/>
          <w:spacing w:val="2"/>
          <w:sz w:val="21"/>
          <w:szCs w:val="21"/>
        </w:rPr>
        <w:t>(宽)×8</w:t>
      </w:r>
      <w:r>
        <w:rPr>
          <w:rFonts w:ascii="Times New Roman" w:hAnsi="Times New Roman" w:eastAsia="Times New Roman" w:cs="Times New Roman"/>
          <w:spacing w:val="2"/>
          <w:sz w:val="21"/>
          <w:szCs w:val="21"/>
        </w:rPr>
        <w:t>m</w:t>
      </w:r>
      <w:r>
        <w:rPr>
          <w:rFonts w:ascii="宋体" w:hAnsi="宋体" w:eastAsia="宋体" w:cs="宋体"/>
          <w:spacing w:val="2"/>
          <w:sz w:val="21"/>
          <w:szCs w:val="21"/>
        </w:rPr>
        <w:t>(高)的开口(舞台口除外)部位应设置</w:t>
      </w:r>
      <w:r>
        <w:rPr>
          <w:rFonts w:ascii="宋体" w:hAnsi="宋体" w:eastAsia="宋体" w:cs="宋体"/>
          <w:spacing w:val="1"/>
          <w:sz w:val="21"/>
          <w:szCs w:val="21"/>
        </w:rPr>
        <w:t>防火分隔</w:t>
      </w:r>
      <w:r>
        <w:rPr>
          <w:rFonts w:ascii="宋体" w:hAnsi="宋体" w:eastAsia="宋体" w:cs="宋体"/>
          <w:spacing w:val="-3"/>
          <w:sz w:val="21"/>
          <w:szCs w:val="21"/>
        </w:rPr>
        <w:t>水幕；需要冷却保护的防火卷帘、防火玻璃墙等防火分隔设施上部应设置防护冷却水幕或者防护冷却系统。</w:t>
      </w:r>
    </w:p>
    <w:p>
      <w:pPr>
        <w:spacing w:before="92" w:line="237" w:lineRule="auto"/>
        <w:ind w:right="90" w:firstLine="3"/>
        <w:rPr>
          <w:rFonts w:ascii="宋体" w:hAnsi="宋体" w:eastAsia="宋体" w:cs="宋体"/>
          <w:sz w:val="21"/>
          <w:szCs w:val="21"/>
        </w:rPr>
      </w:pPr>
      <w:r>
        <w:rPr>
          <w:rFonts w:ascii="宋体" w:hAnsi="宋体" w:eastAsia="宋体" w:cs="宋体"/>
          <w:b/>
          <w:bCs/>
          <w:spacing w:val="-2"/>
          <w:sz w:val="21"/>
          <w:szCs w:val="21"/>
        </w:rPr>
        <w:t>3.2.27</w:t>
      </w:r>
      <w:r>
        <w:rPr>
          <w:rFonts w:ascii="宋体" w:hAnsi="宋体" w:eastAsia="宋体" w:cs="宋体"/>
          <w:spacing w:val="-2"/>
          <w:sz w:val="21"/>
          <w:szCs w:val="21"/>
        </w:rPr>
        <w:t>未设置自动喷水灭火系统的下列场所，应设置简易自动</w:t>
      </w:r>
      <w:r>
        <w:rPr>
          <w:rFonts w:ascii="宋体" w:hAnsi="宋体" w:eastAsia="宋体" w:cs="宋体"/>
          <w:spacing w:val="-8"/>
          <w:sz w:val="21"/>
          <w:szCs w:val="21"/>
        </w:rPr>
        <w:t>喷水灭火系统：</w:t>
      </w:r>
    </w:p>
    <w:p>
      <w:pPr>
        <w:spacing w:before="71" w:line="246" w:lineRule="auto"/>
        <w:ind w:firstLine="412"/>
        <w:rPr>
          <w:rFonts w:ascii="宋体" w:hAnsi="宋体" w:eastAsia="宋体" w:cs="宋体"/>
          <w:sz w:val="21"/>
          <w:szCs w:val="21"/>
        </w:rPr>
      </w:pPr>
      <w:r>
        <w:rPr>
          <w:rFonts w:ascii="宋体" w:hAnsi="宋体" w:eastAsia="宋体" w:cs="宋体"/>
          <w:b/>
          <w:bCs/>
          <w:spacing w:val="5"/>
          <w:sz w:val="21"/>
          <w:szCs w:val="21"/>
        </w:rPr>
        <w:t>1</w:t>
      </w:r>
      <w:r>
        <w:rPr>
          <w:rFonts w:ascii="宋体" w:hAnsi="宋体" w:eastAsia="宋体" w:cs="宋体"/>
          <w:spacing w:val="5"/>
          <w:sz w:val="21"/>
          <w:szCs w:val="21"/>
        </w:rPr>
        <w:t>单栋农家乐(民宿)建筑客房数量超过14间或同时用餐、休闲娱乐人数超过40人的场所。</w:t>
      </w:r>
    </w:p>
    <w:p>
      <w:pPr>
        <w:spacing w:before="60" w:line="219" w:lineRule="auto"/>
        <w:ind w:left="412"/>
        <w:rPr>
          <w:rFonts w:ascii="宋体" w:hAnsi="宋体" w:eastAsia="宋体" w:cs="宋体"/>
          <w:sz w:val="21"/>
          <w:szCs w:val="21"/>
        </w:rPr>
      </w:pPr>
      <w:r>
        <w:rPr>
          <w:rFonts w:ascii="宋体" w:hAnsi="宋体" w:eastAsia="宋体" w:cs="宋体"/>
          <w:b/>
          <w:bCs/>
          <w:spacing w:val="-9"/>
          <w:sz w:val="21"/>
          <w:szCs w:val="21"/>
        </w:rPr>
        <w:t>2</w:t>
      </w:r>
      <w:r>
        <w:rPr>
          <w:rFonts w:ascii="宋体" w:hAnsi="宋体" w:eastAsia="宋体" w:cs="宋体"/>
          <w:spacing w:val="-9"/>
          <w:sz w:val="21"/>
          <w:szCs w:val="21"/>
        </w:rPr>
        <w:t>小型幼儿园、托育场所。</w:t>
      </w:r>
    </w:p>
    <w:p>
      <w:pPr>
        <w:spacing w:before="71" w:line="277" w:lineRule="auto"/>
        <w:ind w:right="96" w:firstLine="3"/>
        <w:rPr>
          <w:rFonts w:ascii="宋体" w:hAnsi="宋体" w:eastAsia="宋体" w:cs="宋体"/>
          <w:sz w:val="21"/>
          <w:szCs w:val="21"/>
        </w:rPr>
      </w:pPr>
      <w:r>
        <w:rPr>
          <w:rFonts w:ascii="宋体" w:hAnsi="宋体" w:eastAsia="宋体" w:cs="宋体"/>
          <w:b/>
          <w:bCs/>
          <w:spacing w:val="5"/>
          <w:sz w:val="21"/>
          <w:szCs w:val="21"/>
        </w:rPr>
        <w:t>3.2.28</w:t>
      </w:r>
      <w:r>
        <w:rPr>
          <w:rFonts w:ascii="宋体" w:hAnsi="宋体" w:eastAsia="宋体" w:cs="宋体"/>
          <w:spacing w:val="5"/>
          <w:sz w:val="21"/>
          <w:szCs w:val="21"/>
        </w:rPr>
        <w:t>设置自动喷水灭火系统中的所有部位当符合下</w:t>
      </w:r>
      <w:r>
        <w:rPr>
          <w:rFonts w:ascii="宋体" w:hAnsi="宋体" w:eastAsia="宋体" w:cs="宋体"/>
          <w:spacing w:val="4"/>
          <w:sz w:val="21"/>
          <w:szCs w:val="21"/>
        </w:rPr>
        <w:t>列情况</w:t>
      </w:r>
      <w:r>
        <w:rPr>
          <w:rFonts w:ascii="宋体" w:hAnsi="宋体" w:eastAsia="宋体" w:cs="宋体"/>
          <w:spacing w:val="-9"/>
          <w:sz w:val="21"/>
          <w:szCs w:val="21"/>
        </w:rPr>
        <w:t>下时，其局部部位可不设置喷头：</w:t>
      </w:r>
    </w:p>
    <w:p>
      <w:pPr>
        <w:spacing w:line="219" w:lineRule="auto"/>
        <w:ind w:left="412"/>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不宜用水扑救(保护或灭火)的部位。</w:t>
      </w:r>
    </w:p>
    <w:p>
      <w:pPr>
        <w:spacing w:before="59" w:line="218" w:lineRule="auto"/>
        <w:ind w:left="412"/>
        <w:rPr>
          <w:rFonts w:ascii="宋体" w:hAnsi="宋体" w:eastAsia="宋体" w:cs="宋体"/>
          <w:sz w:val="21"/>
          <w:szCs w:val="21"/>
        </w:rPr>
      </w:pPr>
      <w:r>
        <w:rPr>
          <w:rFonts w:ascii="宋体" w:hAnsi="宋体" w:eastAsia="宋体" w:cs="宋体"/>
          <w:b/>
          <w:bCs/>
          <w:spacing w:val="-12"/>
          <w:sz w:val="21"/>
          <w:szCs w:val="21"/>
        </w:rPr>
        <w:t>2</w:t>
      </w:r>
      <w:r>
        <w:rPr>
          <w:rFonts w:ascii="宋体" w:hAnsi="宋体" w:eastAsia="宋体" w:cs="宋体"/>
          <w:spacing w:val="-12"/>
          <w:sz w:val="21"/>
          <w:szCs w:val="21"/>
        </w:rPr>
        <w:t>建筑内的游泳池、浴池、淋浴间、溜冰场等场所的正上方。</w:t>
      </w:r>
    </w:p>
    <w:p>
      <w:pPr>
        <w:spacing w:before="75" w:line="247" w:lineRule="auto"/>
        <w:ind w:right="92" w:firstLine="412"/>
        <w:rPr>
          <w:rFonts w:ascii="宋体" w:hAnsi="宋体" w:eastAsia="宋体" w:cs="宋体"/>
          <w:sz w:val="21"/>
          <w:szCs w:val="21"/>
        </w:rPr>
      </w:pPr>
      <w:r>
        <w:rPr>
          <w:rFonts w:ascii="宋体" w:hAnsi="宋体" w:eastAsia="宋体" w:cs="宋体"/>
          <w:b/>
          <w:bCs/>
          <w:spacing w:val="10"/>
          <w:sz w:val="21"/>
          <w:szCs w:val="21"/>
        </w:rPr>
        <w:t>3</w:t>
      </w:r>
      <w:r>
        <w:rPr>
          <w:rFonts w:ascii="宋体" w:hAnsi="宋体" w:eastAsia="宋体" w:cs="宋体"/>
          <w:spacing w:val="10"/>
          <w:sz w:val="21"/>
          <w:szCs w:val="21"/>
        </w:rPr>
        <w:t>建筑高度250m及以下建筑中，建筑面积小于或等于</w:t>
      </w:r>
      <w:r>
        <w:rPr>
          <w:rFonts w:ascii="宋体" w:hAnsi="宋体" w:eastAsia="宋体" w:cs="宋体"/>
          <w:spacing w:val="-2"/>
          <w:sz w:val="21"/>
          <w:szCs w:val="21"/>
        </w:rPr>
        <w:t>3m²,且无可燃物的管道井。</w:t>
      </w:r>
    </w:p>
    <w:p>
      <w:pPr>
        <w:spacing w:line="247" w:lineRule="auto"/>
        <w:rPr>
          <w:rFonts w:ascii="宋体" w:hAnsi="宋体" w:eastAsia="宋体" w:cs="宋体"/>
          <w:sz w:val="21"/>
          <w:szCs w:val="21"/>
        </w:rPr>
        <w:sectPr>
          <w:footerReference r:id="rId22" w:type="default"/>
          <w:pgSz w:w="8280" w:h="11850"/>
          <w:pgMar w:top="1007" w:right="1144" w:bottom="1440" w:left="1210" w:header="0" w:footer="1167" w:gutter="0"/>
          <w:cols w:space="720" w:num="1"/>
        </w:sectPr>
      </w:pPr>
    </w:p>
    <w:p>
      <w:pPr>
        <w:pStyle w:val="2"/>
        <w:spacing w:line="298" w:lineRule="auto"/>
      </w:pPr>
    </w:p>
    <w:p>
      <w:pPr>
        <w:pStyle w:val="2"/>
        <w:spacing w:line="298" w:lineRule="auto"/>
      </w:pPr>
    </w:p>
    <w:p>
      <w:pPr>
        <w:spacing w:before="68" w:line="219" w:lineRule="auto"/>
        <w:ind w:left="1423"/>
        <w:outlineLvl w:val="1"/>
        <w:rPr>
          <w:rFonts w:ascii="宋体" w:hAnsi="宋体" w:eastAsia="宋体" w:cs="宋体"/>
          <w:sz w:val="21"/>
          <w:szCs w:val="21"/>
        </w:rPr>
      </w:pPr>
      <w:bookmarkStart w:id="12" w:name="bookmark8"/>
      <w:bookmarkEnd w:id="12"/>
      <w:r>
        <w:rPr>
          <w:rFonts w:ascii="宋体" w:hAnsi="宋体" w:eastAsia="宋体" w:cs="宋体"/>
          <w:b/>
          <w:bCs/>
          <w:spacing w:val="-1"/>
          <w:sz w:val="21"/>
          <w:szCs w:val="21"/>
        </w:rPr>
        <w:t>3.3自动跟踪定位射流灭火系统</w:t>
      </w:r>
    </w:p>
    <w:p>
      <w:pPr>
        <w:pStyle w:val="2"/>
        <w:spacing w:line="312" w:lineRule="auto"/>
      </w:pPr>
    </w:p>
    <w:p>
      <w:pPr>
        <w:spacing w:before="68" w:line="286" w:lineRule="auto"/>
        <w:ind w:right="37" w:firstLine="3"/>
        <w:rPr>
          <w:rFonts w:ascii="宋体" w:hAnsi="宋体" w:eastAsia="宋体" w:cs="宋体"/>
          <w:sz w:val="21"/>
          <w:szCs w:val="21"/>
        </w:rPr>
      </w:pPr>
      <w:r>
        <w:rPr>
          <w:rFonts w:ascii="宋体" w:hAnsi="宋体" w:eastAsia="宋体" w:cs="宋体"/>
          <w:b/>
          <w:bCs/>
          <w:spacing w:val="1"/>
          <w:sz w:val="21"/>
          <w:szCs w:val="21"/>
        </w:rPr>
        <w:t>3.3.1</w:t>
      </w:r>
      <w:r>
        <w:rPr>
          <w:rFonts w:ascii="宋体" w:hAnsi="宋体" w:eastAsia="宋体" w:cs="宋体"/>
          <w:spacing w:val="1"/>
          <w:sz w:val="21"/>
          <w:szCs w:val="21"/>
        </w:rPr>
        <w:t>自动跟踪定位射流灭火系统可用于扑救民用建筑火灾类</w:t>
      </w:r>
      <w:r>
        <w:rPr>
          <w:rFonts w:ascii="宋体" w:hAnsi="宋体" w:eastAsia="宋体" w:cs="宋体"/>
          <w:spacing w:val="2"/>
          <w:sz w:val="21"/>
          <w:szCs w:val="21"/>
        </w:rPr>
        <w:t>别为A类的下列场所：</w:t>
      </w:r>
    </w:p>
    <w:p>
      <w:pPr>
        <w:spacing w:line="219" w:lineRule="auto"/>
        <w:ind w:left="413"/>
        <w:rPr>
          <w:rFonts w:ascii="宋体" w:hAnsi="宋体" w:eastAsia="宋体" w:cs="宋体"/>
          <w:sz w:val="21"/>
          <w:szCs w:val="21"/>
        </w:rPr>
      </w:pPr>
      <w:r>
        <w:rPr>
          <w:rFonts w:ascii="宋体" w:hAnsi="宋体" w:eastAsia="宋体" w:cs="宋体"/>
          <w:b/>
          <w:bCs/>
          <w:spacing w:val="6"/>
          <w:sz w:val="21"/>
          <w:szCs w:val="21"/>
        </w:rPr>
        <w:t>1</w:t>
      </w:r>
      <w:r>
        <w:rPr>
          <w:rFonts w:ascii="宋体" w:hAnsi="宋体" w:eastAsia="宋体" w:cs="宋体"/>
          <w:spacing w:val="6"/>
          <w:sz w:val="21"/>
          <w:szCs w:val="21"/>
        </w:rPr>
        <w:t>净空高度大于18m。</w:t>
      </w:r>
    </w:p>
    <w:p>
      <w:pPr>
        <w:spacing w:before="47" w:line="256" w:lineRule="auto"/>
        <w:ind w:right="6" w:firstLine="413"/>
        <w:rPr>
          <w:rFonts w:ascii="宋体" w:hAnsi="宋体" w:eastAsia="宋体" w:cs="宋体"/>
          <w:sz w:val="21"/>
          <w:szCs w:val="21"/>
        </w:rPr>
      </w:pPr>
      <w:r>
        <w:rPr>
          <w:rFonts w:ascii="宋体" w:hAnsi="宋体" w:eastAsia="宋体" w:cs="宋体"/>
          <w:b/>
          <w:bCs/>
          <w:spacing w:val="5"/>
          <w:sz w:val="21"/>
          <w:szCs w:val="21"/>
        </w:rPr>
        <w:t>2</w:t>
      </w:r>
      <w:r>
        <w:rPr>
          <w:rFonts w:ascii="宋体" w:hAnsi="宋体" w:eastAsia="宋体" w:cs="宋体"/>
          <w:spacing w:val="5"/>
          <w:sz w:val="21"/>
          <w:szCs w:val="21"/>
        </w:rPr>
        <w:t>净空高度大于12m且小于18m,设置自动喷水灭火系统</w:t>
      </w:r>
      <w:r>
        <w:rPr>
          <w:rFonts w:ascii="宋体" w:hAnsi="宋体" w:eastAsia="宋体" w:cs="宋体"/>
          <w:spacing w:val="-2"/>
          <w:sz w:val="21"/>
          <w:szCs w:val="21"/>
        </w:rPr>
        <w:t>确有困难的高大空间场所。</w:t>
      </w:r>
    </w:p>
    <w:p>
      <w:pPr>
        <w:spacing w:before="81" w:line="219" w:lineRule="auto"/>
        <w:ind w:left="3"/>
        <w:rPr>
          <w:rFonts w:ascii="宋体" w:hAnsi="宋体" w:eastAsia="宋体" w:cs="宋体"/>
          <w:sz w:val="21"/>
          <w:szCs w:val="21"/>
        </w:rPr>
      </w:pPr>
      <w:r>
        <w:rPr>
          <w:rFonts w:ascii="宋体" w:hAnsi="宋体" w:eastAsia="宋体" w:cs="宋体"/>
          <w:b/>
          <w:bCs/>
          <w:spacing w:val="-1"/>
          <w:sz w:val="21"/>
          <w:szCs w:val="21"/>
        </w:rPr>
        <w:t>3.3.2</w:t>
      </w:r>
      <w:r>
        <w:rPr>
          <w:rFonts w:ascii="宋体" w:hAnsi="宋体" w:eastAsia="宋体" w:cs="宋体"/>
          <w:spacing w:val="-1"/>
          <w:sz w:val="21"/>
          <w:szCs w:val="21"/>
        </w:rPr>
        <w:t>自动跟踪定位射流灭火系统不应用于下列场所：</w:t>
      </w:r>
    </w:p>
    <w:p>
      <w:pPr>
        <w:spacing w:before="61" w:line="219" w:lineRule="auto"/>
        <w:ind w:left="410"/>
        <w:rPr>
          <w:rFonts w:ascii="宋体" w:hAnsi="宋体" w:eastAsia="宋体" w:cs="宋体"/>
          <w:sz w:val="21"/>
          <w:szCs w:val="21"/>
        </w:rPr>
      </w:pPr>
      <w:r>
        <w:rPr>
          <w:rFonts w:ascii="宋体" w:hAnsi="宋体" w:eastAsia="宋体" w:cs="宋体"/>
          <w:spacing w:val="-4"/>
          <w:sz w:val="21"/>
          <w:szCs w:val="21"/>
        </w:rPr>
        <w:t>1经常有明火作业。</w:t>
      </w:r>
    </w:p>
    <w:p>
      <w:pPr>
        <w:spacing w:before="61" w:line="219" w:lineRule="auto"/>
        <w:ind w:left="410"/>
        <w:rPr>
          <w:rFonts w:ascii="宋体" w:hAnsi="宋体" w:eastAsia="宋体" w:cs="宋体"/>
          <w:sz w:val="21"/>
          <w:szCs w:val="21"/>
        </w:rPr>
      </w:pPr>
      <w:r>
        <w:rPr>
          <w:rFonts w:ascii="宋体" w:hAnsi="宋体" w:eastAsia="宋体" w:cs="宋体"/>
          <w:spacing w:val="-1"/>
          <w:sz w:val="21"/>
          <w:szCs w:val="21"/>
        </w:rPr>
        <w:t>2不适宜用水保护。</w:t>
      </w:r>
    </w:p>
    <w:p>
      <w:pPr>
        <w:spacing w:before="61" w:line="219" w:lineRule="auto"/>
        <w:ind w:left="410"/>
        <w:rPr>
          <w:rFonts w:ascii="宋体" w:hAnsi="宋体" w:eastAsia="宋体" w:cs="宋体"/>
          <w:sz w:val="21"/>
          <w:szCs w:val="21"/>
        </w:rPr>
      </w:pPr>
      <w:r>
        <w:rPr>
          <w:rFonts w:ascii="宋体" w:hAnsi="宋体" w:eastAsia="宋体" w:cs="宋体"/>
          <w:spacing w:val="-1"/>
          <w:sz w:val="21"/>
          <w:szCs w:val="21"/>
        </w:rPr>
        <w:t>3存在明显遮挡。</w:t>
      </w:r>
    </w:p>
    <w:p>
      <w:pPr>
        <w:spacing w:before="61" w:line="219" w:lineRule="auto"/>
        <w:ind w:left="410"/>
        <w:rPr>
          <w:rFonts w:ascii="宋体" w:hAnsi="宋体" w:eastAsia="宋体" w:cs="宋体"/>
          <w:sz w:val="21"/>
          <w:szCs w:val="21"/>
        </w:rPr>
      </w:pPr>
      <w:r>
        <w:rPr>
          <w:rFonts w:ascii="宋体" w:hAnsi="宋体" w:eastAsia="宋体" w:cs="宋体"/>
          <w:spacing w:val="-1"/>
          <w:sz w:val="21"/>
          <w:szCs w:val="21"/>
        </w:rPr>
        <w:t>4火灾水平蔓延速度快。</w:t>
      </w:r>
    </w:p>
    <w:p>
      <w:pPr>
        <w:spacing w:before="71" w:line="255" w:lineRule="auto"/>
        <w:ind w:right="7" w:firstLine="410"/>
        <w:rPr>
          <w:rFonts w:ascii="宋体" w:hAnsi="宋体" w:eastAsia="宋体" w:cs="宋体"/>
          <w:sz w:val="21"/>
          <w:szCs w:val="21"/>
        </w:rPr>
      </w:pPr>
      <w:r>
        <w:rPr>
          <w:rFonts w:ascii="宋体" w:hAnsi="宋体" w:eastAsia="宋体" w:cs="宋体"/>
          <w:spacing w:val="4"/>
          <w:sz w:val="21"/>
          <w:szCs w:val="21"/>
        </w:rPr>
        <w:t>5火灾危险等级为现行国家标准《自动喷水灭</w:t>
      </w:r>
      <w:r>
        <w:rPr>
          <w:rFonts w:ascii="宋体" w:hAnsi="宋体" w:eastAsia="宋体" w:cs="宋体"/>
          <w:spacing w:val="3"/>
          <w:sz w:val="21"/>
          <w:szCs w:val="21"/>
        </w:rPr>
        <w:t>火系统设计</w:t>
      </w:r>
      <w:r>
        <w:rPr>
          <w:rFonts w:ascii="宋体" w:hAnsi="宋体" w:eastAsia="宋体" w:cs="宋体"/>
          <w:spacing w:val="-6"/>
          <w:sz w:val="21"/>
          <w:szCs w:val="21"/>
        </w:rPr>
        <w:t>规范》</w:t>
      </w:r>
      <w:r>
        <w:rPr>
          <w:rFonts w:ascii="Times New Roman" w:hAnsi="Times New Roman" w:eastAsia="Times New Roman" w:cs="Times New Roman"/>
          <w:spacing w:val="-6"/>
          <w:sz w:val="21"/>
          <w:szCs w:val="21"/>
        </w:rPr>
        <w:t>GB50084</w:t>
      </w:r>
      <w:r>
        <w:rPr>
          <w:rFonts w:ascii="宋体" w:hAnsi="宋体" w:eastAsia="宋体" w:cs="宋体"/>
          <w:spacing w:val="-6"/>
          <w:sz w:val="21"/>
          <w:szCs w:val="21"/>
        </w:rPr>
        <w:t>规定的严重危险级。</w:t>
      </w:r>
    </w:p>
    <w:p>
      <w:pPr>
        <w:pStyle w:val="2"/>
        <w:spacing w:line="316" w:lineRule="auto"/>
      </w:pPr>
    </w:p>
    <w:p>
      <w:pPr>
        <w:spacing w:before="69" w:line="219" w:lineRule="auto"/>
        <w:ind w:left="1723"/>
        <w:outlineLvl w:val="1"/>
        <w:rPr>
          <w:rFonts w:ascii="宋体" w:hAnsi="宋体" w:eastAsia="宋体" w:cs="宋体"/>
          <w:sz w:val="21"/>
          <w:szCs w:val="21"/>
        </w:rPr>
      </w:pPr>
      <w:bookmarkStart w:id="13" w:name="bookmark9"/>
      <w:bookmarkEnd w:id="13"/>
      <w:r>
        <w:rPr>
          <w:rFonts w:ascii="宋体" w:hAnsi="宋体" w:eastAsia="宋体" w:cs="宋体"/>
          <w:b/>
          <w:bCs/>
          <w:spacing w:val="-4"/>
          <w:sz w:val="21"/>
          <w:szCs w:val="21"/>
        </w:rPr>
        <w:t>3.4其他灭火系统及装置</w:t>
      </w:r>
    </w:p>
    <w:p>
      <w:pPr>
        <w:pStyle w:val="2"/>
        <w:spacing w:line="302" w:lineRule="auto"/>
      </w:pPr>
    </w:p>
    <w:p>
      <w:pPr>
        <w:spacing w:before="68" w:line="279" w:lineRule="auto"/>
        <w:ind w:right="8"/>
        <w:rPr>
          <w:rFonts w:ascii="宋体" w:hAnsi="宋体" w:eastAsia="宋体" w:cs="宋体"/>
          <w:sz w:val="17"/>
          <w:szCs w:val="17"/>
        </w:rPr>
      </w:pPr>
      <w:r>
        <w:rPr>
          <w:rFonts w:ascii="宋体" w:hAnsi="宋体" w:eastAsia="宋体" w:cs="宋体"/>
          <w:spacing w:val="-4"/>
          <w:sz w:val="21"/>
          <w:szCs w:val="21"/>
        </w:rPr>
        <w:t>3.4.1建筑内不适合用水扑救的部位，可采用气体、干粉等灭火</w:t>
      </w:r>
      <w:r>
        <w:rPr>
          <w:rFonts w:ascii="宋体" w:hAnsi="宋体" w:eastAsia="宋体" w:cs="宋体"/>
          <w:spacing w:val="-6"/>
          <w:sz w:val="17"/>
          <w:szCs w:val="17"/>
        </w:rPr>
        <w:t>设施。</w:t>
      </w:r>
    </w:p>
    <w:p>
      <w:pPr>
        <w:spacing w:before="76" w:line="219" w:lineRule="auto"/>
        <w:rPr>
          <w:rFonts w:ascii="宋体" w:hAnsi="宋体" w:eastAsia="宋体" w:cs="宋体"/>
          <w:sz w:val="21"/>
          <w:szCs w:val="21"/>
        </w:rPr>
      </w:pPr>
      <w:r>
        <w:rPr>
          <w:rFonts w:ascii="宋体" w:hAnsi="宋体" w:eastAsia="宋体" w:cs="宋体"/>
          <w:spacing w:val="-4"/>
          <w:sz w:val="21"/>
          <w:szCs w:val="21"/>
        </w:rPr>
        <w:t>3.4.2下列场所应设置自动灭火系统，并宜采</w:t>
      </w:r>
      <w:r>
        <w:rPr>
          <w:rFonts w:ascii="宋体" w:hAnsi="宋体" w:eastAsia="宋体" w:cs="宋体"/>
          <w:spacing w:val="-5"/>
          <w:sz w:val="21"/>
          <w:szCs w:val="21"/>
        </w:rPr>
        <w:t>用气体灭火系统：</w:t>
      </w:r>
    </w:p>
    <w:p>
      <w:pPr>
        <w:spacing w:before="51" w:line="255" w:lineRule="auto"/>
        <w:ind w:right="8" w:firstLine="410"/>
        <w:rPr>
          <w:rFonts w:ascii="宋体" w:hAnsi="宋体" w:eastAsia="宋体" w:cs="宋体"/>
          <w:sz w:val="21"/>
          <w:szCs w:val="21"/>
        </w:rPr>
      </w:pPr>
      <w:r>
        <w:rPr>
          <w:rFonts w:ascii="宋体" w:hAnsi="宋体" w:eastAsia="宋体" w:cs="宋体"/>
          <w:spacing w:val="-4"/>
          <w:sz w:val="21"/>
          <w:szCs w:val="21"/>
        </w:rPr>
        <w:t>1市级广播电视发射塔内的微波机房、分米波</w:t>
      </w:r>
      <w:r>
        <w:rPr>
          <w:rFonts w:ascii="宋体" w:hAnsi="宋体" w:eastAsia="宋体" w:cs="宋体"/>
          <w:spacing w:val="-5"/>
          <w:sz w:val="21"/>
          <w:szCs w:val="21"/>
        </w:rPr>
        <w:t>机房、米波机</w:t>
      </w:r>
      <w:r>
        <w:rPr>
          <w:rFonts w:ascii="宋体" w:hAnsi="宋体" w:eastAsia="宋体" w:cs="宋体"/>
          <w:spacing w:val="-9"/>
          <w:sz w:val="21"/>
          <w:szCs w:val="21"/>
        </w:rPr>
        <w:t>房、变配电室和不间断电源(UPS)室。</w:t>
      </w:r>
    </w:p>
    <w:p>
      <w:pPr>
        <w:spacing w:before="61" w:line="254" w:lineRule="auto"/>
        <w:ind w:right="7" w:firstLine="410"/>
        <w:rPr>
          <w:rFonts w:ascii="宋体" w:hAnsi="宋体" w:eastAsia="宋体" w:cs="宋体"/>
          <w:sz w:val="21"/>
          <w:szCs w:val="21"/>
        </w:rPr>
      </w:pPr>
      <w:r>
        <w:rPr>
          <w:rFonts w:ascii="宋体" w:hAnsi="宋体" w:eastAsia="宋体" w:cs="宋体"/>
          <w:spacing w:val="-1"/>
          <w:sz w:val="21"/>
          <w:szCs w:val="21"/>
        </w:rPr>
        <w:t>2国际电信局、大区中心、市中心和1万路以上长途程控交</w:t>
      </w:r>
      <w:r>
        <w:rPr>
          <w:rFonts w:ascii="宋体" w:hAnsi="宋体" w:eastAsia="宋体" w:cs="宋体"/>
          <w:spacing w:val="-8"/>
          <w:sz w:val="21"/>
          <w:szCs w:val="21"/>
        </w:rPr>
        <w:t>换机房、控制室和信令转接点室。</w:t>
      </w:r>
    </w:p>
    <w:p>
      <w:pPr>
        <w:spacing w:before="72" w:line="245" w:lineRule="auto"/>
        <w:ind w:firstLine="410"/>
        <w:rPr>
          <w:rFonts w:ascii="宋体" w:hAnsi="宋体" w:eastAsia="宋体" w:cs="宋体"/>
          <w:sz w:val="21"/>
          <w:szCs w:val="21"/>
        </w:rPr>
      </w:pPr>
      <w:r>
        <w:rPr>
          <w:rFonts w:ascii="宋体" w:hAnsi="宋体" w:eastAsia="宋体" w:cs="宋体"/>
          <w:spacing w:val="12"/>
          <w:sz w:val="21"/>
          <w:szCs w:val="21"/>
        </w:rPr>
        <w:t>32万线以上的市话汇接局和6万门以上的市话端局内的</w:t>
      </w:r>
      <w:r>
        <w:rPr>
          <w:rFonts w:ascii="宋体" w:hAnsi="宋体" w:eastAsia="宋体" w:cs="宋体"/>
          <w:spacing w:val="-7"/>
          <w:sz w:val="21"/>
          <w:szCs w:val="21"/>
        </w:rPr>
        <w:t>程控交换机房、控制室和信令转接点室。</w:t>
      </w:r>
    </w:p>
    <w:p>
      <w:pPr>
        <w:spacing w:before="63" w:line="254" w:lineRule="auto"/>
        <w:ind w:right="2" w:firstLine="410"/>
        <w:rPr>
          <w:rFonts w:ascii="宋体" w:hAnsi="宋体" w:eastAsia="宋体" w:cs="宋体"/>
          <w:sz w:val="21"/>
          <w:szCs w:val="21"/>
        </w:rPr>
      </w:pPr>
      <w:r>
        <w:rPr>
          <w:rFonts w:ascii="宋体" w:hAnsi="宋体" w:eastAsia="宋体" w:cs="宋体"/>
          <w:spacing w:val="4"/>
          <w:sz w:val="21"/>
          <w:szCs w:val="21"/>
        </w:rPr>
        <w:t>4市级公安、防灾和网局级及以上的电力等调</w:t>
      </w:r>
      <w:r>
        <w:rPr>
          <w:rFonts w:ascii="宋体" w:hAnsi="宋体" w:eastAsia="宋体" w:cs="宋体"/>
          <w:spacing w:val="3"/>
          <w:sz w:val="21"/>
          <w:szCs w:val="21"/>
        </w:rPr>
        <w:t>度指挥中心</w:t>
      </w:r>
      <w:r>
        <w:rPr>
          <w:rFonts w:ascii="宋体" w:hAnsi="宋体" w:eastAsia="宋体" w:cs="宋体"/>
          <w:spacing w:val="-3"/>
          <w:sz w:val="21"/>
          <w:szCs w:val="21"/>
        </w:rPr>
        <w:t>内的通信机房和控制室。</w:t>
      </w:r>
    </w:p>
    <w:p>
      <w:pPr>
        <w:spacing w:line="254" w:lineRule="auto"/>
        <w:rPr>
          <w:rFonts w:ascii="宋体" w:hAnsi="宋体" w:eastAsia="宋体" w:cs="宋体"/>
          <w:sz w:val="21"/>
          <w:szCs w:val="21"/>
        </w:rPr>
        <w:sectPr>
          <w:footerReference r:id="rId23" w:type="default"/>
          <w:pgSz w:w="8280" w:h="11850"/>
          <w:pgMar w:top="1007" w:right="1223" w:bottom="1270" w:left="1190" w:header="0" w:footer="996" w:gutter="0"/>
          <w:cols w:space="720" w:num="1"/>
        </w:sectPr>
      </w:pPr>
    </w:p>
    <w:p>
      <w:pPr>
        <w:spacing w:before="247" w:line="247" w:lineRule="auto"/>
        <w:ind w:right="20" w:firstLine="419"/>
        <w:rPr>
          <w:rFonts w:ascii="宋体" w:hAnsi="宋体" w:eastAsia="宋体" w:cs="宋体"/>
          <w:sz w:val="21"/>
          <w:szCs w:val="21"/>
        </w:rPr>
      </w:pPr>
      <w:r>
        <w:rPr>
          <w:rFonts w:ascii="Times New Roman" w:hAnsi="Times New Roman" w:eastAsia="Times New Roman" w:cs="Times New Roman"/>
          <w:b/>
          <w:bCs/>
          <w:spacing w:val="-1"/>
          <w:sz w:val="21"/>
          <w:szCs w:val="21"/>
        </w:rPr>
        <w:t>5A</w:t>
      </w:r>
      <w:r>
        <w:rPr>
          <w:rFonts w:ascii="宋体" w:hAnsi="宋体" w:eastAsia="宋体" w:cs="宋体"/>
          <w:b/>
          <w:bCs/>
          <w:spacing w:val="-1"/>
          <w:sz w:val="21"/>
          <w:szCs w:val="21"/>
        </w:rPr>
        <w:t>、</w:t>
      </w:r>
      <w:r>
        <w:rPr>
          <w:rFonts w:ascii="Times New Roman" w:hAnsi="Times New Roman" w:eastAsia="Times New Roman" w:cs="Times New Roman"/>
          <w:b/>
          <w:bCs/>
          <w:spacing w:val="-1"/>
          <w:sz w:val="21"/>
          <w:szCs w:val="21"/>
        </w:rPr>
        <w:t>B</w:t>
      </w:r>
      <w:r>
        <w:rPr>
          <w:rFonts w:ascii="宋体" w:hAnsi="宋体" w:eastAsia="宋体" w:cs="宋体"/>
          <w:b/>
          <w:bCs/>
          <w:spacing w:val="-1"/>
          <w:sz w:val="21"/>
          <w:szCs w:val="21"/>
        </w:rPr>
        <w:t>级电子信息系统机房内的主机房和基本工作间的已</w:t>
      </w:r>
      <w:r>
        <w:rPr>
          <w:rFonts w:ascii="宋体" w:hAnsi="宋体" w:eastAsia="宋体" w:cs="宋体"/>
          <w:spacing w:val="-4"/>
          <w:sz w:val="21"/>
          <w:szCs w:val="21"/>
        </w:rPr>
        <w:t>记录磁(纸)介质库。</w:t>
      </w:r>
    </w:p>
    <w:p>
      <w:pPr>
        <w:spacing w:before="72" w:line="250" w:lineRule="auto"/>
        <w:ind w:right="12" w:firstLine="419"/>
        <w:rPr>
          <w:rFonts w:ascii="宋体" w:hAnsi="宋体" w:eastAsia="宋体" w:cs="宋体"/>
          <w:sz w:val="21"/>
          <w:szCs w:val="21"/>
        </w:rPr>
      </w:pPr>
      <w:r>
        <w:rPr>
          <w:rFonts w:ascii="Times New Roman" w:hAnsi="Times New Roman" w:eastAsia="Times New Roman" w:cs="Times New Roman"/>
          <w:b/>
          <w:bCs/>
          <w:spacing w:val="9"/>
          <w:sz w:val="21"/>
          <w:szCs w:val="21"/>
        </w:rPr>
        <w:t>6</w:t>
      </w:r>
      <w:r>
        <w:rPr>
          <w:rFonts w:ascii="宋体" w:hAnsi="宋体" w:eastAsia="宋体" w:cs="宋体"/>
          <w:spacing w:val="9"/>
          <w:sz w:val="21"/>
          <w:szCs w:val="21"/>
        </w:rPr>
        <w:t>市级广播电视中心内建筑面积不</w:t>
      </w:r>
      <w:r>
        <w:rPr>
          <w:rFonts w:ascii="宋体" w:hAnsi="宋体" w:eastAsia="宋体" w:cs="宋体"/>
          <w:spacing w:val="8"/>
          <w:sz w:val="21"/>
          <w:szCs w:val="21"/>
        </w:rPr>
        <w:t>小于120</w:t>
      </w:r>
      <w:r>
        <w:rPr>
          <w:rFonts w:ascii="Times New Roman" w:hAnsi="Times New Roman" w:eastAsia="Times New Roman" w:cs="Times New Roman"/>
          <w:spacing w:val="8"/>
          <w:sz w:val="21"/>
          <w:szCs w:val="21"/>
        </w:rPr>
        <w:t>m²</w:t>
      </w:r>
      <w:r>
        <w:rPr>
          <w:rFonts w:ascii="宋体" w:hAnsi="宋体" w:eastAsia="宋体" w:cs="宋体"/>
          <w:spacing w:val="8"/>
          <w:sz w:val="21"/>
          <w:szCs w:val="21"/>
        </w:rPr>
        <w:t>的音像制</w:t>
      </w:r>
      <w:r>
        <w:rPr>
          <w:rFonts w:ascii="宋体" w:hAnsi="宋体" w:eastAsia="宋体" w:cs="宋体"/>
          <w:spacing w:val="-5"/>
          <w:sz w:val="21"/>
          <w:szCs w:val="21"/>
        </w:rPr>
        <w:t>品库房。</w:t>
      </w:r>
    </w:p>
    <w:p>
      <w:pPr>
        <w:spacing w:before="58" w:line="255" w:lineRule="auto"/>
        <w:ind w:firstLine="422"/>
        <w:rPr>
          <w:rFonts w:ascii="宋体" w:hAnsi="宋体" w:eastAsia="宋体" w:cs="宋体"/>
          <w:sz w:val="21"/>
          <w:szCs w:val="21"/>
        </w:rPr>
      </w:pPr>
      <w:r>
        <w:rPr>
          <w:rFonts w:ascii="宋体" w:hAnsi="宋体" w:eastAsia="宋体" w:cs="宋体"/>
          <w:b/>
          <w:bCs/>
          <w:spacing w:val="6"/>
          <w:sz w:val="21"/>
          <w:szCs w:val="21"/>
        </w:rPr>
        <w:t>7</w:t>
      </w:r>
      <w:r>
        <w:rPr>
          <w:rFonts w:ascii="宋体" w:hAnsi="宋体" w:eastAsia="宋体" w:cs="宋体"/>
          <w:spacing w:val="6"/>
          <w:sz w:val="21"/>
          <w:szCs w:val="21"/>
        </w:rPr>
        <w:t>市级或藏书量超过100万册的图书馆内的特藏库；市级</w:t>
      </w:r>
      <w:r>
        <w:rPr>
          <w:rFonts w:ascii="宋体" w:hAnsi="宋体" w:eastAsia="宋体" w:cs="宋体"/>
          <w:spacing w:val="-1"/>
          <w:sz w:val="21"/>
          <w:szCs w:val="21"/>
        </w:rPr>
        <w:t>档案馆内的珍藏库和非纸质档案库；大、中型博物馆内的珍品库</w:t>
      </w:r>
      <w:r>
        <w:rPr>
          <w:rFonts w:ascii="宋体" w:hAnsi="宋体" w:eastAsia="宋体" w:cs="宋体"/>
          <w:spacing w:val="-9"/>
          <w:sz w:val="21"/>
          <w:szCs w:val="21"/>
        </w:rPr>
        <w:t>房；一级纸绢质文物的陈列室；医疗建筑中的病史档案室。</w:t>
      </w:r>
    </w:p>
    <w:p>
      <w:pPr>
        <w:spacing w:before="91" w:line="241" w:lineRule="auto"/>
        <w:ind w:right="21" w:firstLine="422"/>
        <w:rPr>
          <w:rFonts w:ascii="宋体" w:hAnsi="宋体" w:eastAsia="宋体" w:cs="宋体"/>
          <w:sz w:val="21"/>
          <w:szCs w:val="21"/>
        </w:rPr>
      </w:pPr>
      <w:r>
        <w:rPr>
          <w:rFonts w:ascii="宋体" w:hAnsi="宋体" w:eastAsia="宋体" w:cs="宋体"/>
          <w:b/>
          <w:bCs/>
          <w:spacing w:val="2"/>
          <w:sz w:val="21"/>
          <w:szCs w:val="21"/>
        </w:rPr>
        <w:t>8</w:t>
      </w:r>
      <w:r>
        <w:rPr>
          <w:rFonts w:ascii="宋体" w:hAnsi="宋体" w:eastAsia="宋体" w:cs="宋体"/>
          <w:spacing w:val="2"/>
          <w:sz w:val="21"/>
          <w:szCs w:val="21"/>
        </w:rPr>
        <w:t>医院建筑中的影像中心机房、核医学科机房和放射治疗</w:t>
      </w:r>
      <w:r>
        <w:rPr>
          <w:rFonts w:ascii="宋体" w:hAnsi="宋体" w:eastAsia="宋体" w:cs="宋体"/>
          <w:spacing w:val="-8"/>
          <w:sz w:val="21"/>
          <w:szCs w:val="21"/>
        </w:rPr>
        <w:t>机房等。</w:t>
      </w:r>
    </w:p>
    <w:p>
      <w:pPr>
        <w:spacing w:before="62" w:line="219" w:lineRule="auto"/>
        <w:ind w:left="422"/>
        <w:rPr>
          <w:rFonts w:ascii="宋体" w:hAnsi="宋体" w:eastAsia="宋体" w:cs="宋体"/>
          <w:sz w:val="21"/>
          <w:szCs w:val="21"/>
        </w:rPr>
      </w:pPr>
      <w:r>
        <w:rPr>
          <w:rFonts w:ascii="宋体" w:hAnsi="宋体" w:eastAsia="宋体" w:cs="宋体"/>
          <w:b/>
          <w:bCs/>
          <w:spacing w:val="-1"/>
          <w:sz w:val="21"/>
          <w:szCs w:val="21"/>
        </w:rPr>
        <w:t>9</w:t>
      </w:r>
      <w:r>
        <w:rPr>
          <w:rFonts w:ascii="宋体" w:hAnsi="宋体" w:eastAsia="宋体" w:cs="宋体"/>
          <w:spacing w:val="-1"/>
          <w:sz w:val="21"/>
          <w:szCs w:val="21"/>
        </w:rPr>
        <w:t>其他特殊重要设备室。</w:t>
      </w:r>
    </w:p>
    <w:p>
      <w:pPr>
        <w:spacing w:before="71" w:line="219" w:lineRule="auto"/>
        <w:ind w:left="3"/>
        <w:rPr>
          <w:rFonts w:ascii="宋体" w:hAnsi="宋体" w:eastAsia="宋体" w:cs="宋体"/>
          <w:sz w:val="21"/>
          <w:szCs w:val="21"/>
        </w:rPr>
      </w:pPr>
      <w:r>
        <w:rPr>
          <w:rFonts w:ascii="宋体" w:hAnsi="宋体" w:eastAsia="宋体" w:cs="宋体"/>
          <w:b/>
          <w:bCs/>
          <w:spacing w:val="-2"/>
          <w:sz w:val="21"/>
          <w:szCs w:val="21"/>
        </w:rPr>
        <w:t>3.4.3</w:t>
      </w:r>
      <w:r>
        <w:rPr>
          <w:rFonts w:hint="eastAsia" w:ascii="宋体" w:hAnsi="宋体" w:eastAsia="宋体" w:cs="宋体"/>
          <w:b/>
          <w:bCs/>
          <w:spacing w:val="-2"/>
          <w:sz w:val="21"/>
          <w:szCs w:val="21"/>
          <w:lang w:val="en-US" w:eastAsia="zh-CN"/>
        </w:rPr>
        <w:t xml:space="preserve">  </w:t>
      </w:r>
      <w:r>
        <w:rPr>
          <w:rFonts w:ascii="宋体" w:hAnsi="宋体" w:eastAsia="宋体" w:cs="宋体"/>
          <w:spacing w:val="-2"/>
          <w:sz w:val="21"/>
          <w:szCs w:val="21"/>
        </w:rPr>
        <w:t>下列场所或设备可设置探火管灭火装置：</w:t>
      </w:r>
    </w:p>
    <w:p>
      <w:pPr>
        <w:spacing w:before="69" w:line="219" w:lineRule="auto"/>
        <w:ind w:left="422"/>
        <w:rPr>
          <w:rFonts w:ascii="宋体" w:hAnsi="宋体" w:eastAsia="宋体" w:cs="宋体"/>
          <w:sz w:val="21"/>
          <w:szCs w:val="21"/>
        </w:rPr>
      </w:pPr>
      <w:r>
        <w:rPr>
          <w:rFonts w:ascii="宋体" w:hAnsi="宋体" w:eastAsia="宋体" w:cs="宋体"/>
          <w:b/>
          <w:bCs/>
          <w:spacing w:val="-10"/>
          <w:sz w:val="21"/>
          <w:szCs w:val="21"/>
        </w:rPr>
        <w:t>1</w:t>
      </w:r>
      <w:r>
        <w:rPr>
          <w:rFonts w:ascii="宋体" w:hAnsi="宋体" w:eastAsia="宋体" w:cs="宋体"/>
          <w:spacing w:val="-10"/>
          <w:sz w:val="21"/>
          <w:szCs w:val="21"/>
        </w:rPr>
        <w:t>通信、安保机房内的信息机柜。</w:t>
      </w:r>
    </w:p>
    <w:p>
      <w:pPr>
        <w:spacing w:before="61" w:line="219" w:lineRule="auto"/>
        <w:ind w:left="422"/>
        <w:rPr>
          <w:rFonts w:ascii="宋体" w:hAnsi="宋体" w:eastAsia="宋体" w:cs="宋体"/>
          <w:sz w:val="21"/>
          <w:szCs w:val="21"/>
        </w:rPr>
      </w:pPr>
      <w:r>
        <w:rPr>
          <w:rFonts w:ascii="宋体" w:hAnsi="宋体" w:eastAsia="宋体" w:cs="宋体"/>
          <w:b/>
          <w:bCs/>
          <w:spacing w:val="-9"/>
          <w:sz w:val="21"/>
          <w:szCs w:val="21"/>
        </w:rPr>
        <w:t>2</w:t>
      </w:r>
      <w:r>
        <w:rPr>
          <w:rFonts w:ascii="宋体" w:hAnsi="宋体" w:eastAsia="宋体" w:cs="宋体"/>
          <w:spacing w:val="-9"/>
          <w:sz w:val="21"/>
          <w:szCs w:val="21"/>
        </w:rPr>
        <w:t>强、弱电机房内的变配电柜、电梯设备控制柜。</w:t>
      </w:r>
    </w:p>
    <w:p>
      <w:pPr>
        <w:spacing w:before="71" w:line="219" w:lineRule="auto"/>
        <w:ind w:left="422"/>
        <w:rPr>
          <w:rFonts w:ascii="宋体" w:hAnsi="宋体" w:eastAsia="宋体" w:cs="宋体"/>
          <w:sz w:val="21"/>
          <w:szCs w:val="21"/>
        </w:rPr>
      </w:pPr>
      <w:r>
        <w:rPr>
          <w:rFonts w:ascii="宋体" w:hAnsi="宋体" w:eastAsia="宋体" w:cs="宋体"/>
          <w:b/>
          <w:bCs/>
          <w:spacing w:val="-8"/>
          <w:sz w:val="21"/>
          <w:szCs w:val="21"/>
        </w:rPr>
        <w:t>3</w:t>
      </w:r>
      <w:r>
        <w:rPr>
          <w:rFonts w:ascii="宋体" w:hAnsi="宋体" w:eastAsia="宋体" w:cs="宋体"/>
          <w:spacing w:val="-8"/>
          <w:sz w:val="21"/>
          <w:szCs w:val="21"/>
        </w:rPr>
        <w:t>其他需要重点防护的机柜、设备。</w:t>
      </w:r>
    </w:p>
    <w:p>
      <w:pPr>
        <w:spacing w:before="61" w:line="293" w:lineRule="auto"/>
        <w:ind w:right="22" w:firstLine="3"/>
        <w:rPr>
          <w:rFonts w:ascii="宋体" w:hAnsi="宋体" w:eastAsia="宋体" w:cs="宋体"/>
          <w:sz w:val="21"/>
          <w:szCs w:val="21"/>
        </w:rPr>
      </w:pPr>
      <w:r>
        <w:rPr>
          <w:rFonts w:ascii="宋体" w:hAnsi="宋体" w:eastAsia="宋体" w:cs="宋体"/>
          <w:b/>
          <w:bCs/>
          <w:spacing w:val="-5"/>
          <w:sz w:val="21"/>
          <w:szCs w:val="21"/>
        </w:rPr>
        <w:t>3.4.4</w:t>
      </w:r>
      <w:r>
        <w:rPr>
          <w:rFonts w:hint="eastAsia" w:ascii="宋体" w:hAnsi="宋体" w:eastAsia="宋体" w:cs="宋体"/>
          <w:b/>
          <w:bCs/>
          <w:spacing w:val="-5"/>
          <w:sz w:val="21"/>
          <w:szCs w:val="21"/>
          <w:lang w:val="en-US" w:eastAsia="zh-CN"/>
        </w:rPr>
        <w:t xml:space="preserve">  </w:t>
      </w:r>
      <w:r>
        <w:rPr>
          <w:rFonts w:ascii="宋体" w:hAnsi="宋体" w:eastAsia="宋体" w:cs="宋体"/>
          <w:spacing w:val="-5"/>
          <w:sz w:val="21"/>
          <w:szCs w:val="21"/>
        </w:rPr>
        <w:t>高层建筑的强弱电间、电梯机房，可设置超细干粉自动灭</w:t>
      </w:r>
      <w:r>
        <w:rPr>
          <w:rFonts w:ascii="宋体" w:hAnsi="宋体" w:eastAsia="宋体" w:cs="宋体"/>
          <w:spacing w:val="-8"/>
          <w:sz w:val="21"/>
          <w:szCs w:val="21"/>
        </w:rPr>
        <w:t>火装置。</w:t>
      </w:r>
    </w:p>
    <w:p>
      <w:pPr>
        <w:spacing w:line="293" w:lineRule="auto"/>
        <w:rPr>
          <w:rFonts w:ascii="宋体" w:hAnsi="宋体" w:eastAsia="宋体" w:cs="宋体"/>
          <w:sz w:val="21"/>
          <w:szCs w:val="21"/>
        </w:rPr>
        <w:sectPr>
          <w:footerReference r:id="rId24" w:type="default"/>
          <w:pgSz w:w="8280" w:h="11850"/>
          <w:pgMar w:top="1007" w:right="1209" w:bottom="1380" w:left="1200" w:header="0" w:footer="1106" w:gutter="0"/>
          <w:cols w:space="720" w:num="1"/>
        </w:sectPr>
      </w:pPr>
    </w:p>
    <w:p>
      <w:pPr>
        <w:pStyle w:val="2"/>
        <w:spacing w:line="300" w:lineRule="auto"/>
      </w:pPr>
    </w:p>
    <w:p>
      <w:pPr>
        <w:pStyle w:val="2"/>
        <w:spacing w:line="300" w:lineRule="auto"/>
      </w:pPr>
    </w:p>
    <w:p>
      <w:pPr>
        <w:pStyle w:val="2"/>
        <w:spacing w:line="301" w:lineRule="auto"/>
      </w:pPr>
    </w:p>
    <w:p>
      <w:pPr>
        <w:spacing w:before="91" w:line="221" w:lineRule="auto"/>
        <w:ind w:left="2193"/>
        <w:outlineLvl w:val="0"/>
        <w:rPr>
          <w:rFonts w:ascii="黑体" w:hAnsi="黑体" w:eastAsia="黑体" w:cs="黑体"/>
          <w:sz w:val="28"/>
          <w:szCs w:val="28"/>
        </w:rPr>
      </w:pPr>
      <w:bookmarkStart w:id="14" w:name="bookmark10"/>
      <w:bookmarkEnd w:id="14"/>
      <w:r>
        <w:rPr>
          <w:rFonts w:ascii="宋体" w:hAnsi="宋体" w:eastAsia="宋体" w:cs="宋体"/>
          <w:b/>
          <w:bCs/>
          <w:spacing w:val="-4"/>
          <w:sz w:val="28"/>
          <w:szCs w:val="28"/>
        </w:rPr>
        <w:t>4</w:t>
      </w:r>
      <w:r>
        <w:rPr>
          <w:rFonts w:ascii="黑体" w:hAnsi="黑体" w:eastAsia="黑体" w:cs="黑体"/>
          <w:b/>
          <w:bCs/>
          <w:spacing w:val="-4"/>
          <w:sz w:val="28"/>
          <w:szCs w:val="28"/>
        </w:rPr>
        <w:t>消防给水</w:t>
      </w:r>
    </w:p>
    <w:p>
      <w:pPr>
        <w:pStyle w:val="2"/>
        <w:spacing w:line="302" w:lineRule="auto"/>
      </w:pPr>
    </w:p>
    <w:p>
      <w:pPr>
        <w:pStyle w:val="2"/>
        <w:spacing w:line="302" w:lineRule="auto"/>
      </w:pPr>
    </w:p>
    <w:p>
      <w:pPr>
        <w:spacing w:before="68" w:line="220" w:lineRule="auto"/>
        <w:ind w:left="2282"/>
        <w:outlineLvl w:val="1"/>
        <w:rPr>
          <w:rFonts w:ascii="宋体" w:hAnsi="宋体" w:eastAsia="宋体" w:cs="宋体"/>
          <w:sz w:val="21"/>
          <w:szCs w:val="21"/>
        </w:rPr>
      </w:pPr>
      <w:bookmarkStart w:id="15" w:name="bookmark11"/>
      <w:bookmarkEnd w:id="15"/>
      <w:r>
        <w:rPr>
          <w:rFonts w:ascii="宋体" w:hAnsi="宋体" w:eastAsia="宋体" w:cs="宋体"/>
          <w:b/>
          <w:bCs/>
          <w:spacing w:val="-4"/>
          <w:sz w:val="21"/>
          <w:szCs w:val="21"/>
        </w:rPr>
        <w:t>4.1一般规定</w:t>
      </w:r>
    </w:p>
    <w:p>
      <w:pPr>
        <w:pStyle w:val="2"/>
        <w:spacing w:line="310" w:lineRule="auto"/>
      </w:pPr>
    </w:p>
    <w:p>
      <w:pPr>
        <w:spacing w:before="69" w:line="250" w:lineRule="auto"/>
        <w:ind w:right="18" w:firstLine="3"/>
        <w:rPr>
          <w:rFonts w:ascii="宋体" w:hAnsi="宋体" w:eastAsia="宋体" w:cs="宋体"/>
          <w:sz w:val="21"/>
          <w:szCs w:val="21"/>
        </w:rPr>
      </w:pPr>
      <w:r>
        <w:rPr>
          <w:rFonts w:ascii="宋体" w:hAnsi="宋体" w:eastAsia="宋体" w:cs="宋体"/>
          <w:b/>
          <w:bCs/>
          <w:spacing w:val="14"/>
          <w:sz w:val="21"/>
          <w:szCs w:val="21"/>
        </w:rPr>
        <w:t>4.1.1</w:t>
      </w:r>
      <w:r>
        <w:rPr>
          <w:rFonts w:ascii="宋体" w:hAnsi="宋体" w:eastAsia="宋体" w:cs="宋体"/>
          <w:spacing w:val="14"/>
          <w:sz w:val="21"/>
          <w:szCs w:val="21"/>
        </w:rPr>
        <w:t>消防用水可由城镇给水管网(包括自备水源的给水管</w:t>
      </w:r>
      <w:r>
        <w:rPr>
          <w:rFonts w:ascii="宋体" w:hAnsi="宋体" w:eastAsia="宋体" w:cs="宋体"/>
          <w:spacing w:val="-8"/>
          <w:sz w:val="21"/>
          <w:szCs w:val="21"/>
        </w:rPr>
        <w:t>网)、天然水源或消防水池供给，宜采用城镇给水管网供水。</w:t>
      </w:r>
    </w:p>
    <w:p>
      <w:pPr>
        <w:spacing w:before="72" w:line="219" w:lineRule="auto"/>
        <w:ind w:left="3"/>
        <w:rPr>
          <w:rFonts w:ascii="宋体" w:hAnsi="宋体" w:eastAsia="宋体" w:cs="宋体"/>
          <w:sz w:val="21"/>
          <w:szCs w:val="21"/>
        </w:rPr>
      </w:pPr>
      <w:r>
        <w:rPr>
          <w:rFonts w:ascii="宋体" w:hAnsi="宋体" w:eastAsia="宋体" w:cs="宋体"/>
          <w:b/>
          <w:bCs/>
          <w:spacing w:val="-4"/>
          <w:sz w:val="21"/>
          <w:szCs w:val="21"/>
        </w:rPr>
        <w:t>4.1.2</w:t>
      </w:r>
      <w:r>
        <w:rPr>
          <w:rFonts w:ascii="宋体" w:hAnsi="宋体" w:eastAsia="宋体" w:cs="宋体"/>
          <w:spacing w:val="-4"/>
          <w:sz w:val="21"/>
          <w:szCs w:val="21"/>
        </w:rPr>
        <w:t>室内消防给水系统应与生活、生产给水系统分开设置。</w:t>
      </w:r>
    </w:p>
    <w:p>
      <w:pPr>
        <w:spacing w:before="70" w:line="276" w:lineRule="auto"/>
        <w:ind w:right="20" w:firstLine="3"/>
        <w:rPr>
          <w:rFonts w:ascii="宋体" w:hAnsi="宋体" w:eastAsia="宋体" w:cs="宋体"/>
          <w:sz w:val="17"/>
          <w:szCs w:val="17"/>
        </w:rPr>
      </w:pPr>
      <w:r>
        <w:rPr>
          <w:rFonts w:ascii="宋体" w:hAnsi="宋体" w:eastAsia="宋体" w:cs="宋体"/>
          <w:b/>
          <w:bCs/>
          <w:spacing w:val="-4"/>
          <w:sz w:val="21"/>
          <w:szCs w:val="21"/>
        </w:rPr>
        <w:t>4.1.3</w:t>
      </w:r>
      <w:r>
        <w:rPr>
          <w:rFonts w:ascii="宋体" w:hAnsi="宋体" w:eastAsia="宋体" w:cs="宋体"/>
          <w:spacing w:val="-4"/>
          <w:sz w:val="21"/>
          <w:szCs w:val="21"/>
        </w:rPr>
        <w:t>当小区的室外生活、消防合用管道时，设计流量</w:t>
      </w:r>
      <w:r>
        <w:rPr>
          <w:rFonts w:ascii="宋体" w:hAnsi="宋体" w:eastAsia="宋体" w:cs="宋体"/>
          <w:spacing w:val="-5"/>
          <w:sz w:val="21"/>
          <w:szCs w:val="21"/>
        </w:rPr>
        <w:t>计算应符</w:t>
      </w:r>
      <w:r>
        <w:rPr>
          <w:rFonts w:ascii="宋体" w:hAnsi="宋体" w:eastAsia="宋体" w:cs="宋体"/>
          <w:spacing w:val="8"/>
          <w:sz w:val="21"/>
          <w:szCs w:val="21"/>
        </w:rPr>
        <w:t>合现行国家标准《建筑给水排水设计标准》</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50015</w:t>
      </w:r>
      <w:r>
        <w:rPr>
          <w:rFonts w:ascii="宋体" w:hAnsi="宋体" w:eastAsia="宋体" w:cs="宋体"/>
          <w:spacing w:val="8"/>
          <w:sz w:val="21"/>
          <w:szCs w:val="21"/>
        </w:rPr>
        <w:t>的相关</w:t>
      </w:r>
      <w:r>
        <w:rPr>
          <w:rFonts w:ascii="宋体" w:hAnsi="宋体" w:eastAsia="宋体" w:cs="宋体"/>
          <w:spacing w:val="-7"/>
          <w:sz w:val="17"/>
          <w:szCs w:val="17"/>
        </w:rPr>
        <w:t>规定。</w:t>
      </w:r>
    </w:p>
    <w:p>
      <w:pPr>
        <w:spacing w:before="69" w:line="258" w:lineRule="auto"/>
        <w:ind w:firstLine="3"/>
        <w:rPr>
          <w:rFonts w:ascii="宋体" w:hAnsi="宋体" w:eastAsia="宋体" w:cs="宋体"/>
          <w:sz w:val="21"/>
          <w:szCs w:val="21"/>
        </w:rPr>
      </w:pPr>
      <w:r>
        <w:rPr>
          <w:rFonts w:ascii="宋体" w:hAnsi="宋体" w:eastAsia="宋体" w:cs="宋体"/>
          <w:b/>
          <w:bCs/>
          <w:spacing w:val="3"/>
          <w:sz w:val="21"/>
          <w:szCs w:val="21"/>
        </w:rPr>
        <w:t>4.1.4</w:t>
      </w:r>
      <w:r>
        <w:rPr>
          <w:rFonts w:ascii="宋体" w:hAnsi="宋体" w:eastAsia="宋体" w:cs="宋体"/>
          <w:spacing w:val="3"/>
          <w:sz w:val="21"/>
          <w:szCs w:val="21"/>
        </w:rPr>
        <w:t>室外消防给水引入管管径应经过计算确定，流速不宜大</w:t>
      </w:r>
      <w:r>
        <w:rPr>
          <w:rFonts w:ascii="宋体" w:hAnsi="宋体" w:eastAsia="宋体" w:cs="宋体"/>
          <w:spacing w:val="-1"/>
          <w:sz w:val="21"/>
          <w:szCs w:val="21"/>
        </w:rPr>
        <w:t>于2.50</w:t>
      </w:r>
      <w:r>
        <w:rPr>
          <w:rFonts w:ascii="Times New Roman" w:hAnsi="Times New Roman" w:eastAsia="Times New Roman" w:cs="Times New Roman"/>
          <w:spacing w:val="-1"/>
          <w:sz w:val="21"/>
          <w:szCs w:val="21"/>
        </w:rPr>
        <w:t>m/s</w:t>
      </w:r>
      <w:r>
        <w:rPr>
          <w:rFonts w:ascii="宋体" w:hAnsi="宋体" w:eastAsia="宋体" w:cs="宋体"/>
          <w:spacing w:val="-1"/>
          <w:sz w:val="21"/>
          <w:szCs w:val="21"/>
        </w:rPr>
        <w:t>。</w:t>
      </w:r>
    </w:p>
    <w:p>
      <w:pPr>
        <w:pStyle w:val="2"/>
        <w:spacing w:line="299" w:lineRule="auto"/>
      </w:pPr>
    </w:p>
    <w:p>
      <w:pPr>
        <w:spacing w:before="68" w:line="219" w:lineRule="auto"/>
        <w:ind w:left="2263"/>
        <w:outlineLvl w:val="1"/>
        <w:rPr>
          <w:rFonts w:ascii="宋体" w:hAnsi="宋体" w:eastAsia="宋体" w:cs="宋体"/>
          <w:sz w:val="21"/>
          <w:szCs w:val="21"/>
        </w:rPr>
      </w:pPr>
      <w:bookmarkStart w:id="16" w:name="bookmark12"/>
      <w:bookmarkEnd w:id="16"/>
      <w:r>
        <w:rPr>
          <w:rFonts w:ascii="宋体" w:hAnsi="宋体" w:eastAsia="宋体" w:cs="宋体"/>
          <w:b/>
          <w:bCs/>
          <w:spacing w:val="-1"/>
          <w:sz w:val="21"/>
          <w:szCs w:val="21"/>
        </w:rPr>
        <w:t>4.2消防水源</w:t>
      </w:r>
    </w:p>
    <w:p>
      <w:pPr>
        <w:pStyle w:val="2"/>
        <w:spacing w:line="312" w:lineRule="auto"/>
      </w:pPr>
    </w:p>
    <w:p>
      <w:pPr>
        <w:spacing w:before="68" w:line="261" w:lineRule="auto"/>
        <w:ind w:right="22" w:firstLine="3"/>
        <w:rPr>
          <w:rFonts w:ascii="宋体" w:hAnsi="宋体" w:eastAsia="宋体" w:cs="宋体"/>
          <w:sz w:val="21"/>
          <w:szCs w:val="21"/>
        </w:rPr>
      </w:pPr>
      <w:r>
        <w:rPr>
          <w:rFonts w:ascii="宋体" w:hAnsi="宋体" w:eastAsia="宋体" w:cs="宋体"/>
          <w:b/>
          <w:bCs/>
          <w:spacing w:val="3"/>
          <w:sz w:val="21"/>
          <w:szCs w:val="21"/>
        </w:rPr>
        <w:t>4.2.1</w:t>
      </w:r>
      <w:r>
        <w:rPr>
          <w:rFonts w:ascii="宋体" w:hAnsi="宋体" w:eastAsia="宋体" w:cs="宋体"/>
          <w:spacing w:val="3"/>
          <w:sz w:val="21"/>
          <w:szCs w:val="21"/>
        </w:rPr>
        <w:t>消防给水水源宜由城镇给水管网两</w:t>
      </w:r>
      <w:r>
        <w:rPr>
          <w:rFonts w:ascii="宋体" w:hAnsi="宋体" w:eastAsia="宋体" w:cs="宋体"/>
          <w:spacing w:val="2"/>
          <w:sz w:val="21"/>
          <w:szCs w:val="21"/>
        </w:rPr>
        <w:t>路供水。两路供水所</w:t>
      </w:r>
      <w:r>
        <w:rPr>
          <w:rFonts w:ascii="宋体" w:hAnsi="宋体" w:eastAsia="宋体" w:cs="宋体"/>
          <w:spacing w:val="-1"/>
          <w:sz w:val="21"/>
          <w:szCs w:val="21"/>
        </w:rPr>
        <w:t>需水量、流量、水压和可靠性应满足水消防系统在设计持续供水</w:t>
      </w:r>
      <w:r>
        <w:rPr>
          <w:rFonts w:ascii="宋体" w:hAnsi="宋体" w:eastAsia="宋体" w:cs="宋体"/>
          <w:spacing w:val="-2"/>
          <w:sz w:val="21"/>
          <w:szCs w:val="21"/>
        </w:rPr>
        <w:t>时间内的要求。</w:t>
      </w:r>
    </w:p>
    <w:p>
      <w:pPr>
        <w:spacing w:before="61" w:line="219" w:lineRule="auto"/>
        <w:ind w:left="3"/>
        <w:rPr>
          <w:rFonts w:ascii="宋体" w:hAnsi="宋体" w:eastAsia="宋体" w:cs="宋体"/>
          <w:sz w:val="21"/>
          <w:szCs w:val="21"/>
        </w:rPr>
      </w:pPr>
      <w:r>
        <w:rPr>
          <w:rFonts w:ascii="宋体" w:hAnsi="宋体" w:eastAsia="宋体" w:cs="宋体"/>
          <w:b/>
          <w:bCs/>
          <w:spacing w:val="-1"/>
          <w:sz w:val="21"/>
          <w:szCs w:val="21"/>
        </w:rPr>
        <w:t>4.2.2</w:t>
      </w:r>
      <w:r>
        <w:rPr>
          <w:rFonts w:ascii="宋体" w:hAnsi="宋体" w:eastAsia="宋体" w:cs="宋体"/>
          <w:spacing w:val="-1"/>
          <w:sz w:val="21"/>
          <w:szCs w:val="21"/>
        </w:rPr>
        <w:t>符合下列情况之一的建筑应设消防水池：</w:t>
      </w:r>
    </w:p>
    <w:p>
      <w:pPr>
        <w:spacing w:before="71" w:line="250" w:lineRule="auto"/>
        <w:ind w:right="18" w:firstLine="413"/>
        <w:rPr>
          <w:rFonts w:ascii="宋体" w:hAnsi="宋体" w:eastAsia="宋体" w:cs="宋体"/>
          <w:sz w:val="21"/>
          <w:szCs w:val="21"/>
        </w:rPr>
      </w:pPr>
      <w:r>
        <w:rPr>
          <w:rFonts w:ascii="宋体" w:hAnsi="宋体" w:eastAsia="宋体" w:cs="宋体"/>
          <w:b/>
          <w:bCs/>
          <w:spacing w:val="-4"/>
          <w:sz w:val="21"/>
          <w:szCs w:val="21"/>
        </w:rPr>
        <w:t>1</w:t>
      </w:r>
      <w:r>
        <w:rPr>
          <w:rFonts w:ascii="宋体" w:hAnsi="宋体" w:eastAsia="宋体" w:cs="宋体"/>
          <w:spacing w:val="-4"/>
          <w:sz w:val="21"/>
          <w:szCs w:val="21"/>
        </w:rPr>
        <w:t>当生产、生活用水量达到最大时，城镇给水管道、进水管</w:t>
      </w:r>
      <w:r>
        <w:rPr>
          <w:rFonts w:ascii="宋体" w:hAnsi="宋体" w:eastAsia="宋体" w:cs="宋体"/>
          <w:spacing w:val="-9"/>
          <w:sz w:val="21"/>
          <w:szCs w:val="21"/>
        </w:rPr>
        <w:t>或天然水源、其他水源不能满足室内、室外消防用水量。</w:t>
      </w:r>
    </w:p>
    <w:p>
      <w:pPr>
        <w:spacing w:before="62" w:line="247" w:lineRule="auto"/>
        <w:ind w:right="17" w:firstLine="413"/>
        <w:rPr>
          <w:rFonts w:ascii="宋体" w:hAnsi="宋体" w:eastAsia="宋体" w:cs="宋体"/>
          <w:sz w:val="21"/>
          <w:szCs w:val="21"/>
        </w:rPr>
      </w:pPr>
      <w:r>
        <w:rPr>
          <w:rFonts w:ascii="宋体" w:hAnsi="宋体" w:eastAsia="宋体" w:cs="宋体"/>
          <w:b/>
          <w:bCs/>
          <w:spacing w:val="3"/>
          <w:sz w:val="21"/>
          <w:szCs w:val="21"/>
        </w:rPr>
        <w:t>2</w:t>
      </w:r>
      <w:r>
        <w:rPr>
          <w:rFonts w:ascii="宋体" w:hAnsi="宋体" w:eastAsia="宋体" w:cs="宋体"/>
          <w:spacing w:val="3"/>
          <w:sz w:val="21"/>
          <w:szCs w:val="21"/>
        </w:rPr>
        <w:t>城镇给水管道为枝状或仅有一条引入管，车库建筑的室</w:t>
      </w:r>
      <w:r>
        <w:rPr>
          <w:rFonts w:ascii="宋体" w:hAnsi="宋体" w:eastAsia="宋体" w:cs="宋体"/>
          <w:spacing w:val="7"/>
          <w:sz w:val="21"/>
          <w:szCs w:val="21"/>
        </w:rPr>
        <w:t>外消火栓用水量大于15L/s,其他建筑的室</w:t>
      </w:r>
      <w:r>
        <w:rPr>
          <w:rFonts w:ascii="宋体" w:hAnsi="宋体" w:eastAsia="宋体" w:cs="宋体"/>
          <w:spacing w:val="6"/>
          <w:sz w:val="21"/>
          <w:szCs w:val="21"/>
        </w:rPr>
        <w:t>外消火栓用水量大于</w:t>
      </w:r>
    </w:p>
    <w:p>
      <w:pPr>
        <w:spacing w:before="77" w:line="219" w:lineRule="auto"/>
        <w:rPr>
          <w:rFonts w:ascii="宋体" w:hAnsi="宋体" w:eastAsia="宋体" w:cs="宋体"/>
          <w:sz w:val="21"/>
          <w:szCs w:val="21"/>
        </w:rPr>
      </w:pPr>
      <w:r>
        <w:rPr>
          <w:rFonts w:ascii="Times New Roman" w:hAnsi="Times New Roman" w:eastAsia="Times New Roman" w:cs="Times New Roman"/>
          <w:spacing w:val="8"/>
          <w:sz w:val="21"/>
          <w:szCs w:val="21"/>
        </w:rPr>
        <w:t>20L/s</w:t>
      </w:r>
      <w:r>
        <w:rPr>
          <w:rFonts w:ascii="宋体" w:hAnsi="宋体" w:eastAsia="宋体" w:cs="宋体"/>
          <w:spacing w:val="8"/>
          <w:sz w:val="21"/>
          <w:szCs w:val="21"/>
        </w:rPr>
        <w:t>或建筑高度大于50</w:t>
      </w:r>
      <w:r>
        <w:rPr>
          <w:rFonts w:ascii="Times New Roman" w:hAnsi="Times New Roman" w:eastAsia="Times New Roman" w:cs="Times New Roman"/>
          <w:spacing w:val="8"/>
          <w:sz w:val="21"/>
          <w:szCs w:val="21"/>
        </w:rPr>
        <w:t>m</w:t>
      </w:r>
      <w:r>
        <w:rPr>
          <w:rFonts w:ascii="宋体" w:hAnsi="宋体" w:eastAsia="宋体" w:cs="宋体"/>
          <w:spacing w:val="8"/>
          <w:sz w:val="21"/>
          <w:szCs w:val="21"/>
        </w:rPr>
        <w:t>。</w:t>
      </w:r>
    </w:p>
    <w:p>
      <w:pPr>
        <w:spacing w:before="71" w:line="219" w:lineRule="auto"/>
        <w:ind w:left="410"/>
        <w:rPr>
          <w:rFonts w:ascii="宋体" w:hAnsi="宋体" w:eastAsia="宋体" w:cs="宋体"/>
          <w:sz w:val="21"/>
          <w:szCs w:val="21"/>
        </w:rPr>
      </w:pP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建筑高度大于100</w:t>
      </w:r>
      <w:r>
        <w:rPr>
          <w:rFonts w:ascii="Times New Roman" w:hAnsi="Times New Roman" w:eastAsia="Times New Roman" w:cs="Times New Roman"/>
          <w:spacing w:val="5"/>
          <w:sz w:val="21"/>
          <w:szCs w:val="21"/>
        </w:rPr>
        <w:t>m</w:t>
      </w:r>
      <w:r>
        <w:rPr>
          <w:rFonts w:ascii="宋体" w:hAnsi="宋体" w:eastAsia="宋体" w:cs="宋体"/>
          <w:spacing w:val="5"/>
          <w:sz w:val="21"/>
          <w:szCs w:val="21"/>
        </w:rPr>
        <w:t>或单座建筑面积大于500000</w:t>
      </w:r>
      <w:r>
        <w:rPr>
          <w:rFonts w:ascii="Times New Roman" w:hAnsi="Times New Roman" w:eastAsia="Times New Roman" w:cs="Times New Roman"/>
          <w:spacing w:val="5"/>
          <w:sz w:val="21"/>
          <w:szCs w:val="21"/>
        </w:rPr>
        <w:t>m²</w:t>
      </w:r>
      <w:r>
        <w:rPr>
          <w:rFonts w:ascii="宋体" w:hAnsi="宋体" w:eastAsia="宋体" w:cs="宋体"/>
          <w:spacing w:val="5"/>
          <w:sz w:val="21"/>
          <w:szCs w:val="21"/>
        </w:rPr>
        <w:t>。</w:t>
      </w:r>
    </w:p>
    <w:p>
      <w:pPr>
        <w:spacing w:before="71" w:line="219" w:lineRule="auto"/>
        <w:ind w:left="3"/>
        <w:rPr>
          <w:rFonts w:ascii="宋体" w:hAnsi="宋体" w:eastAsia="宋体" w:cs="宋体"/>
          <w:sz w:val="21"/>
          <w:szCs w:val="21"/>
        </w:rPr>
      </w:pPr>
      <w:r>
        <w:rPr>
          <w:rFonts w:ascii="宋体" w:hAnsi="宋体" w:eastAsia="宋体" w:cs="宋体"/>
          <w:b/>
          <w:bCs/>
          <w:spacing w:val="3"/>
          <w:sz w:val="21"/>
          <w:szCs w:val="21"/>
        </w:rPr>
        <w:t>4.2.3</w:t>
      </w:r>
      <w:r>
        <w:rPr>
          <w:rFonts w:ascii="宋体" w:hAnsi="宋体" w:eastAsia="宋体" w:cs="宋体"/>
          <w:spacing w:val="3"/>
          <w:sz w:val="21"/>
          <w:szCs w:val="21"/>
        </w:rPr>
        <w:t>当天然水源同时满足下列条件时，可作为室外消火栓消</w:t>
      </w:r>
    </w:p>
    <w:p>
      <w:pPr>
        <w:spacing w:line="219" w:lineRule="auto"/>
        <w:rPr>
          <w:rFonts w:ascii="宋体" w:hAnsi="宋体" w:eastAsia="宋体" w:cs="宋体"/>
          <w:sz w:val="21"/>
          <w:szCs w:val="21"/>
        </w:rPr>
        <w:sectPr>
          <w:footerReference r:id="rId25" w:type="default"/>
          <w:pgSz w:w="8280" w:h="11850"/>
          <w:pgMar w:top="1007" w:right="1200" w:bottom="1210" w:left="1190" w:header="0" w:footer="937" w:gutter="0"/>
          <w:cols w:space="720" w:num="1"/>
        </w:sectPr>
      </w:pPr>
    </w:p>
    <w:p>
      <w:pPr>
        <w:spacing w:before="301" w:line="219" w:lineRule="auto"/>
        <w:rPr>
          <w:rFonts w:ascii="宋体" w:hAnsi="宋体" w:eastAsia="宋体" w:cs="宋体"/>
          <w:sz w:val="21"/>
          <w:szCs w:val="21"/>
        </w:rPr>
      </w:pPr>
      <w:bookmarkStart w:id="17" w:name="bookmark80"/>
      <w:bookmarkEnd w:id="17"/>
      <w:r>
        <w:rPr>
          <w:rFonts w:ascii="宋体" w:hAnsi="宋体" w:eastAsia="宋体" w:cs="宋体"/>
          <w:spacing w:val="-5"/>
          <w:sz w:val="21"/>
          <w:szCs w:val="21"/>
        </w:rPr>
        <w:t>防水源：</w:t>
      </w:r>
    </w:p>
    <w:p>
      <w:pPr>
        <w:spacing w:before="70" w:line="219" w:lineRule="auto"/>
        <w:ind w:left="409"/>
        <w:rPr>
          <w:rFonts w:ascii="宋体" w:hAnsi="宋体" w:eastAsia="宋体" w:cs="宋体"/>
          <w:sz w:val="21"/>
          <w:szCs w:val="21"/>
        </w:rPr>
      </w:pPr>
      <w:r>
        <w:rPr>
          <w:rFonts w:ascii="宋体" w:hAnsi="宋体" w:eastAsia="宋体" w:cs="宋体"/>
          <w:spacing w:val="3"/>
          <w:sz w:val="21"/>
          <w:szCs w:val="21"/>
        </w:rPr>
        <w:t>1天然水源取水口距离被保护建筑外墙不宜大于150m。</w:t>
      </w:r>
    </w:p>
    <w:p>
      <w:pPr>
        <w:spacing w:before="70" w:line="219" w:lineRule="auto"/>
        <w:ind w:left="409"/>
        <w:rPr>
          <w:rFonts w:ascii="宋体" w:hAnsi="宋体" w:eastAsia="宋体" w:cs="宋体"/>
          <w:sz w:val="21"/>
          <w:szCs w:val="21"/>
        </w:rPr>
      </w:pPr>
      <w:r>
        <w:rPr>
          <w:rFonts w:ascii="宋体" w:hAnsi="宋体" w:eastAsia="宋体" w:cs="宋体"/>
          <w:spacing w:val="6"/>
          <w:sz w:val="21"/>
          <w:szCs w:val="21"/>
        </w:rPr>
        <w:t>2设计枯水流量和水位的年保证率不应小于97%。</w:t>
      </w:r>
    </w:p>
    <w:p>
      <w:pPr>
        <w:spacing w:before="71" w:line="219" w:lineRule="auto"/>
        <w:ind w:left="409"/>
        <w:rPr>
          <w:rFonts w:ascii="宋体" w:hAnsi="宋体" w:eastAsia="宋体" w:cs="宋体"/>
          <w:sz w:val="21"/>
          <w:szCs w:val="21"/>
        </w:rPr>
      </w:pPr>
      <w:r>
        <w:rPr>
          <w:rFonts w:ascii="宋体" w:hAnsi="宋体" w:eastAsia="宋体" w:cs="宋体"/>
          <w:sz w:val="21"/>
          <w:szCs w:val="21"/>
        </w:rPr>
        <w:t>3有可靠的取水场地及取水设施。</w:t>
      </w:r>
    </w:p>
    <w:p>
      <w:pPr>
        <w:spacing w:before="71" w:line="219" w:lineRule="auto"/>
        <w:ind w:left="409"/>
        <w:rPr>
          <w:rFonts w:ascii="宋体" w:hAnsi="宋体" w:eastAsia="宋体" w:cs="宋体"/>
          <w:sz w:val="21"/>
          <w:szCs w:val="21"/>
        </w:rPr>
      </w:pPr>
      <w:r>
        <w:rPr>
          <w:rFonts w:ascii="宋体" w:hAnsi="宋体" w:eastAsia="宋体" w:cs="宋体"/>
          <w:spacing w:val="3"/>
          <w:sz w:val="21"/>
          <w:szCs w:val="21"/>
        </w:rPr>
        <w:t>4消防车取水时最大吸水高度应小于或等于6.00m。</w:t>
      </w:r>
    </w:p>
    <w:p>
      <w:pPr>
        <w:spacing w:before="81" w:line="292" w:lineRule="auto"/>
        <w:ind w:right="34" w:firstLine="3"/>
        <w:rPr>
          <w:rFonts w:ascii="宋体" w:hAnsi="宋体" w:eastAsia="宋体" w:cs="宋体"/>
          <w:sz w:val="21"/>
          <w:szCs w:val="21"/>
        </w:rPr>
      </w:pPr>
      <w:r>
        <w:rPr>
          <w:rFonts w:ascii="宋体" w:hAnsi="宋体" w:eastAsia="宋体" w:cs="宋体"/>
          <w:b/>
          <w:bCs/>
          <w:spacing w:val="2"/>
          <w:sz w:val="21"/>
          <w:szCs w:val="21"/>
        </w:rPr>
        <w:t>4.2.4</w:t>
      </w:r>
      <w:r>
        <w:rPr>
          <w:rFonts w:ascii="宋体" w:hAnsi="宋体" w:eastAsia="宋体" w:cs="宋体"/>
          <w:spacing w:val="2"/>
          <w:sz w:val="21"/>
          <w:szCs w:val="21"/>
        </w:rPr>
        <w:t>高位消防水箱的有效容积设计应符合现行国家标准《消</w:t>
      </w:r>
      <w:r>
        <w:rPr>
          <w:rFonts w:ascii="宋体" w:hAnsi="宋体" w:eastAsia="宋体" w:cs="宋体"/>
          <w:spacing w:val="-1"/>
          <w:sz w:val="21"/>
          <w:szCs w:val="21"/>
        </w:rPr>
        <w:t>防给水及消火栓系统技术规范》GB50974及表4.2.</w:t>
      </w:r>
      <w:r>
        <w:rPr>
          <w:rFonts w:ascii="宋体" w:hAnsi="宋体" w:eastAsia="宋体" w:cs="宋体"/>
          <w:spacing w:val="-2"/>
          <w:sz w:val="21"/>
          <w:szCs w:val="21"/>
        </w:rPr>
        <w:t>4的规定。</w:t>
      </w:r>
    </w:p>
    <w:p>
      <w:pPr>
        <w:spacing w:before="70" w:line="221" w:lineRule="auto"/>
        <w:ind w:left="1082"/>
        <w:rPr>
          <w:rFonts w:ascii="黑体" w:hAnsi="黑体" w:eastAsia="黑体" w:cs="黑体"/>
          <w:sz w:val="21"/>
          <w:szCs w:val="21"/>
        </w:rPr>
      </w:pPr>
      <w:r>
        <w:rPr>
          <w:rFonts w:ascii="黑体" w:hAnsi="黑体" w:eastAsia="黑体" w:cs="黑体"/>
          <w:b/>
          <w:bCs/>
          <w:spacing w:val="-16"/>
          <w:w w:val="95"/>
          <w:sz w:val="21"/>
          <w:szCs w:val="21"/>
        </w:rPr>
        <w:t>表4.2.4民用建筑高位消防水箱最小有效容积</w:t>
      </w:r>
    </w:p>
    <w:p>
      <w:pPr>
        <w:spacing w:line="100" w:lineRule="exact"/>
      </w:pPr>
    </w:p>
    <w:tbl>
      <w:tblPr>
        <w:tblStyle w:val="5"/>
        <w:tblW w:w="584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2"/>
        <w:gridCol w:w="2386"/>
        <w:gridCol w:w="18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592" w:type="dxa"/>
            <w:vAlign w:val="top"/>
          </w:tcPr>
          <w:p>
            <w:pPr>
              <w:pStyle w:val="6"/>
              <w:spacing w:before="72" w:line="219" w:lineRule="auto"/>
              <w:ind w:left="445"/>
            </w:pPr>
            <w:r>
              <w:rPr>
                <w:spacing w:val="-2"/>
              </w:rPr>
              <w:t>建筑分类</w:t>
            </w:r>
          </w:p>
        </w:tc>
        <w:tc>
          <w:tcPr>
            <w:tcW w:w="2386" w:type="dxa"/>
            <w:vAlign w:val="top"/>
          </w:tcPr>
          <w:p>
            <w:pPr>
              <w:pStyle w:val="6"/>
              <w:spacing w:before="72" w:line="219" w:lineRule="auto"/>
              <w:jc w:val="right"/>
            </w:pPr>
            <w:r>
              <w:rPr>
                <w:spacing w:val="-2"/>
              </w:rPr>
              <w:t>建筑高度(或体积、总建筑面积)</w:t>
            </w:r>
          </w:p>
        </w:tc>
        <w:tc>
          <w:tcPr>
            <w:tcW w:w="1862" w:type="dxa"/>
            <w:vAlign w:val="top"/>
          </w:tcPr>
          <w:p>
            <w:pPr>
              <w:pStyle w:val="6"/>
              <w:spacing w:before="72" w:line="219" w:lineRule="auto"/>
              <w:ind w:left="196"/>
            </w:pPr>
            <w:r>
              <w:rPr>
                <w:spacing w:val="12"/>
              </w:rPr>
              <w:t>最小有效容积(m³)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restart"/>
            <w:tcBorders>
              <w:bottom w:val="nil"/>
            </w:tcBorders>
            <w:vAlign w:val="top"/>
          </w:tcPr>
          <w:p>
            <w:pPr>
              <w:pStyle w:val="6"/>
              <w:spacing w:before="278" w:line="219" w:lineRule="auto"/>
              <w:ind w:left="275"/>
            </w:pPr>
            <w:r>
              <w:rPr>
                <w:spacing w:val="-2"/>
              </w:rPr>
              <w:t>一类高层公共</w:t>
            </w:r>
          </w:p>
          <w:p>
            <w:pPr>
              <w:pStyle w:val="6"/>
              <w:spacing w:before="18" w:line="220" w:lineRule="auto"/>
              <w:ind w:left="615"/>
            </w:pPr>
            <w:r>
              <w:rPr>
                <w:spacing w:val="-3"/>
              </w:rPr>
              <w:t>建筑</w:t>
            </w:r>
          </w:p>
        </w:tc>
        <w:tc>
          <w:tcPr>
            <w:tcW w:w="2386" w:type="dxa"/>
            <w:vAlign w:val="top"/>
          </w:tcPr>
          <w:p>
            <w:pPr>
              <w:pStyle w:val="6"/>
              <w:spacing w:before="82" w:line="235" w:lineRule="auto"/>
              <w:ind w:left="883"/>
            </w:pPr>
            <w:r>
              <w:rPr>
                <w:spacing w:val="-4"/>
              </w:rPr>
              <w:t>≤100m</w:t>
            </w:r>
          </w:p>
        </w:tc>
        <w:tc>
          <w:tcPr>
            <w:tcW w:w="1862" w:type="dxa"/>
            <w:vAlign w:val="top"/>
          </w:tcPr>
          <w:p>
            <w:pPr>
              <w:pStyle w:val="6"/>
              <w:spacing w:before="85" w:line="232" w:lineRule="auto"/>
              <w:ind w:left="837"/>
            </w:pPr>
            <w:r>
              <w:rPr>
                <w:spacing w:val="-3"/>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continue"/>
            <w:tcBorders>
              <w:top w:val="nil"/>
              <w:bottom w:val="nil"/>
            </w:tcBorders>
            <w:vAlign w:val="top"/>
          </w:tcPr>
          <w:p>
            <w:pPr>
              <w:rPr>
                <w:rFonts w:ascii="Arial"/>
                <w:sz w:val="21"/>
              </w:rPr>
            </w:pPr>
          </w:p>
        </w:tc>
        <w:tc>
          <w:tcPr>
            <w:tcW w:w="2386" w:type="dxa"/>
            <w:vAlign w:val="top"/>
          </w:tcPr>
          <w:p>
            <w:pPr>
              <w:pStyle w:val="6"/>
              <w:spacing w:before="66" w:line="216" w:lineRule="auto"/>
              <w:ind w:left="503"/>
            </w:pPr>
            <w:r>
              <w:rPr>
                <w:spacing w:val="-1"/>
              </w:rPr>
              <w:t>&gt;100m,且≤150m</w:t>
            </w:r>
          </w:p>
        </w:tc>
        <w:tc>
          <w:tcPr>
            <w:tcW w:w="1862" w:type="dxa"/>
            <w:vAlign w:val="top"/>
          </w:tcPr>
          <w:p>
            <w:pPr>
              <w:pStyle w:val="6"/>
              <w:spacing w:before="86" w:line="231" w:lineRule="auto"/>
              <w:ind w:left="837"/>
            </w:pPr>
            <w:r>
              <w:rPr>
                <w:spacing w:val="-3"/>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continue"/>
            <w:tcBorders>
              <w:top w:val="nil"/>
            </w:tcBorders>
            <w:vAlign w:val="top"/>
          </w:tcPr>
          <w:p>
            <w:pPr>
              <w:rPr>
                <w:rFonts w:ascii="Arial"/>
                <w:sz w:val="21"/>
              </w:rPr>
            </w:pPr>
          </w:p>
        </w:tc>
        <w:tc>
          <w:tcPr>
            <w:tcW w:w="2386" w:type="dxa"/>
            <w:vAlign w:val="top"/>
          </w:tcPr>
          <w:p>
            <w:pPr>
              <w:pStyle w:val="6"/>
              <w:spacing w:before="87" w:line="230" w:lineRule="auto"/>
              <w:ind w:left="973"/>
            </w:pPr>
            <w:r>
              <w:rPr>
                <w:spacing w:val="-2"/>
              </w:rPr>
              <w:t>&gt;150m</w:t>
            </w:r>
          </w:p>
        </w:tc>
        <w:tc>
          <w:tcPr>
            <w:tcW w:w="1862" w:type="dxa"/>
            <w:vAlign w:val="top"/>
          </w:tcPr>
          <w:p>
            <w:pPr>
              <w:pStyle w:val="6"/>
              <w:spacing w:before="87" w:line="230" w:lineRule="auto"/>
              <w:ind w:left="797"/>
            </w:pPr>
            <w:r>
              <w:rPr>
                <w:spacing w:val="-5"/>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592" w:type="dxa"/>
            <w:vAlign w:val="top"/>
          </w:tcPr>
          <w:p>
            <w:pPr>
              <w:pStyle w:val="6"/>
              <w:spacing w:before="80" w:line="241" w:lineRule="auto"/>
              <w:ind w:left="265" w:hanging="240"/>
            </w:pPr>
            <w:r>
              <w:rPr>
                <w:spacing w:val="2"/>
              </w:rPr>
              <w:t>二类高层公共建筑、</w:t>
            </w:r>
            <w:r>
              <w:rPr>
                <w:spacing w:val="-5"/>
              </w:rPr>
              <w:t>多层公共建筑</w:t>
            </w:r>
          </w:p>
        </w:tc>
        <w:tc>
          <w:tcPr>
            <w:tcW w:w="2386" w:type="dxa"/>
            <w:vAlign w:val="top"/>
          </w:tcPr>
          <w:p>
            <w:pPr>
              <w:pStyle w:val="6"/>
              <w:spacing w:before="271" w:line="132" w:lineRule="exact"/>
              <w:ind w:left="1103"/>
            </w:pPr>
            <w:r>
              <w:rPr>
                <w:position w:val="-3"/>
              </w:rPr>
              <w:t>一</w:t>
            </w:r>
          </w:p>
        </w:tc>
        <w:tc>
          <w:tcPr>
            <w:tcW w:w="1862" w:type="dxa"/>
            <w:vAlign w:val="top"/>
          </w:tcPr>
          <w:p>
            <w:pPr>
              <w:pStyle w:val="6"/>
              <w:spacing w:before="207"/>
              <w:ind w:left="837"/>
            </w:pPr>
            <w:r>
              <w:rPr>
                <w:spacing w:val="-5"/>
              </w:rPr>
              <w:t>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restart"/>
            <w:tcBorders>
              <w:bottom w:val="nil"/>
            </w:tcBorders>
            <w:vAlign w:val="top"/>
          </w:tcPr>
          <w:p>
            <w:pPr>
              <w:pStyle w:val="6"/>
              <w:spacing w:before="122" w:line="219" w:lineRule="auto"/>
              <w:ind w:left="275"/>
            </w:pPr>
            <w:r>
              <w:rPr>
                <w:spacing w:val="-2"/>
              </w:rPr>
              <w:t>一类高层住宅</w:t>
            </w:r>
          </w:p>
          <w:p>
            <w:pPr>
              <w:pStyle w:val="6"/>
              <w:spacing w:before="8" w:line="220" w:lineRule="auto"/>
              <w:ind w:left="615"/>
            </w:pPr>
            <w:r>
              <w:rPr>
                <w:spacing w:val="-3"/>
              </w:rPr>
              <w:t>建筑</w:t>
            </w:r>
          </w:p>
        </w:tc>
        <w:tc>
          <w:tcPr>
            <w:tcW w:w="2386" w:type="dxa"/>
            <w:vAlign w:val="top"/>
          </w:tcPr>
          <w:p>
            <w:pPr>
              <w:pStyle w:val="6"/>
              <w:spacing w:before="69" w:line="216" w:lineRule="auto"/>
              <w:ind w:left="512"/>
            </w:pPr>
            <w:r>
              <w:rPr>
                <w:spacing w:val="21"/>
              </w:rPr>
              <w:t>&gt;54m,且≤100m</w:t>
            </w:r>
          </w:p>
        </w:tc>
        <w:tc>
          <w:tcPr>
            <w:tcW w:w="1862" w:type="dxa"/>
            <w:vAlign w:val="top"/>
          </w:tcPr>
          <w:p>
            <w:pPr>
              <w:pStyle w:val="6"/>
              <w:spacing w:before="89" w:line="228" w:lineRule="auto"/>
              <w:ind w:left="837"/>
            </w:pPr>
            <w:r>
              <w:rPr>
                <w:spacing w:val="-5"/>
              </w:rPr>
              <w:t>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continue"/>
            <w:tcBorders>
              <w:top w:val="nil"/>
            </w:tcBorders>
            <w:vAlign w:val="top"/>
          </w:tcPr>
          <w:p>
            <w:pPr>
              <w:rPr>
                <w:rFonts w:ascii="Arial"/>
                <w:sz w:val="21"/>
              </w:rPr>
            </w:pPr>
          </w:p>
        </w:tc>
        <w:tc>
          <w:tcPr>
            <w:tcW w:w="2386" w:type="dxa"/>
            <w:vAlign w:val="top"/>
          </w:tcPr>
          <w:p>
            <w:pPr>
              <w:pStyle w:val="6"/>
              <w:spacing w:before="89" w:line="227" w:lineRule="auto"/>
              <w:ind w:left="933"/>
            </w:pPr>
            <w:r>
              <w:rPr>
                <w:spacing w:val="-2"/>
              </w:rPr>
              <w:t>&gt;100m</w:t>
            </w:r>
          </w:p>
        </w:tc>
        <w:tc>
          <w:tcPr>
            <w:tcW w:w="1862" w:type="dxa"/>
            <w:vAlign w:val="top"/>
          </w:tcPr>
          <w:p>
            <w:pPr>
              <w:pStyle w:val="6"/>
              <w:spacing w:before="89" w:line="227" w:lineRule="auto"/>
              <w:ind w:left="837"/>
            </w:pPr>
            <w:r>
              <w:rPr>
                <w:spacing w:val="-3"/>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Align w:val="top"/>
          </w:tcPr>
          <w:p>
            <w:pPr>
              <w:pStyle w:val="6"/>
              <w:spacing w:before="74" w:line="219" w:lineRule="auto"/>
              <w:ind w:left="105"/>
            </w:pPr>
            <w:r>
              <w:rPr>
                <w:spacing w:val="-2"/>
              </w:rPr>
              <w:t>二类高层住宅建筑</w:t>
            </w:r>
          </w:p>
        </w:tc>
        <w:tc>
          <w:tcPr>
            <w:tcW w:w="2386" w:type="dxa"/>
            <w:vAlign w:val="top"/>
          </w:tcPr>
          <w:p>
            <w:pPr>
              <w:pStyle w:val="6"/>
              <w:spacing w:before="71" w:line="216" w:lineRule="auto"/>
              <w:ind w:left="563"/>
            </w:pPr>
            <w:r>
              <w:rPr>
                <w:spacing w:val="22"/>
              </w:rPr>
              <w:t>&gt;27m,且≤54m</w:t>
            </w:r>
          </w:p>
        </w:tc>
        <w:tc>
          <w:tcPr>
            <w:tcW w:w="1862" w:type="dxa"/>
            <w:vAlign w:val="top"/>
          </w:tcPr>
          <w:p>
            <w:pPr>
              <w:pStyle w:val="6"/>
              <w:spacing w:before="90" w:line="226" w:lineRule="auto"/>
              <w:ind w:left="837"/>
            </w:pPr>
            <w:r>
              <w:rPr>
                <w:spacing w:val="-5"/>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Align w:val="top"/>
          </w:tcPr>
          <w:p>
            <w:pPr>
              <w:pStyle w:val="6"/>
              <w:spacing w:before="75" w:line="219" w:lineRule="auto"/>
              <w:ind w:left="275"/>
            </w:pPr>
            <w:r>
              <w:rPr>
                <w:spacing w:val="1"/>
              </w:rPr>
              <w:t>多层住宅建筑</w:t>
            </w:r>
          </w:p>
        </w:tc>
        <w:tc>
          <w:tcPr>
            <w:tcW w:w="2386" w:type="dxa"/>
            <w:vAlign w:val="top"/>
          </w:tcPr>
          <w:p>
            <w:pPr>
              <w:pStyle w:val="6"/>
              <w:spacing w:before="72" w:line="216" w:lineRule="auto"/>
              <w:ind w:left="563"/>
            </w:pPr>
            <w:r>
              <w:rPr>
                <w:spacing w:val="22"/>
              </w:rPr>
              <w:t>&gt;21m,且≤27m</w:t>
            </w:r>
          </w:p>
        </w:tc>
        <w:tc>
          <w:tcPr>
            <w:tcW w:w="1862" w:type="dxa"/>
            <w:vAlign w:val="top"/>
          </w:tcPr>
          <w:p>
            <w:pPr>
              <w:pStyle w:val="6"/>
              <w:spacing w:before="91" w:line="225" w:lineRule="auto"/>
              <w:ind w:left="877"/>
            </w:pPr>
            <w: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592" w:type="dxa"/>
            <w:vMerge w:val="restart"/>
            <w:tcBorders>
              <w:bottom w:val="nil"/>
            </w:tcBorders>
            <w:vAlign w:val="top"/>
          </w:tcPr>
          <w:p>
            <w:pPr>
              <w:pStyle w:val="6"/>
              <w:spacing w:before="236" w:line="220" w:lineRule="auto"/>
              <w:ind w:left="445"/>
            </w:pPr>
            <w:r>
              <w:rPr>
                <w:spacing w:val="-2"/>
              </w:rPr>
              <w:t>商店建筑</w:t>
            </w:r>
          </w:p>
        </w:tc>
        <w:tc>
          <w:tcPr>
            <w:tcW w:w="2386" w:type="dxa"/>
            <w:vAlign w:val="top"/>
          </w:tcPr>
          <w:p>
            <w:pPr>
              <w:pStyle w:val="6"/>
              <w:spacing w:before="73" w:line="216" w:lineRule="auto"/>
              <w:ind w:left="332"/>
            </w:pPr>
            <w:r>
              <w:rPr>
                <w:spacing w:val="12"/>
              </w:rPr>
              <w:t>&gt;3000m²,且&lt;30000m²</w:t>
            </w:r>
          </w:p>
        </w:tc>
        <w:tc>
          <w:tcPr>
            <w:tcW w:w="1862" w:type="dxa"/>
            <w:vAlign w:val="top"/>
          </w:tcPr>
          <w:p>
            <w:pPr>
              <w:pStyle w:val="6"/>
              <w:spacing w:before="92" w:line="224" w:lineRule="auto"/>
              <w:ind w:left="837"/>
            </w:pPr>
            <w:r>
              <w:rPr>
                <w:spacing w:val="-3"/>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592" w:type="dxa"/>
            <w:vMerge w:val="continue"/>
            <w:tcBorders>
              <w:top w:val="nil"/>
            </w:tcBorders>
            <w:vAlign w:val="top"/>
          </w:tcPr>
          <w:p>
            <w:pPr>
              <w:rPr>
                <w:rFonts w:ascii="Arial"/>
                <w:sz w:val="21"/>
              </w:rPr>
            </w:pPr>
          </w:p>
        </w:tc>
        <w:tc>
          <w:tcPr>
            <w:tcW w:w="2386" w:type="dxa"/>
            <w:vAlign w:val="top"/>
          </w:tcPr>
          <w:p>
            <w:pPr>
              <w:pStyle w:val="6"/>
              <w:spacing w:before="93" w:line="218" w:lineRule="auto"/>
              <w:ind w:left="763"/>
            </w:pPr>
            <w:r>
              <w:rPr>
                <w:spacing w:val="-3"/>
              </w:rPr>
              <w:t>≥30000m²</w:t>
            </w:r>
          </w:p>
        </w:tc>
        <w:tc>
          <w:tcPr>
            <w:tcW w:w="1862" w:type="dxa"/>
            <w:vAlign w:val="top"/>
          </w:tcPr>
          <w:p>
            <w:pPr>
              <w:pStyle w:val="6"/>
              <w:spacing w:before="94" w:line="217" w:lineRule="auto"/>
              <w:ind w:left="837"/>
            </w:pPr>
            <w:r>
              <w:rPr>
                <w:spacing w:val="-3"/>
              </w:rPr>
              <w:t>50</w:t>
            </w:r>
          </w:p>
        </w:tc>
      </w:tr>
    </w:tbl>
    <w:p>
      <w:pPr>
        <w:spacing w:before="121" w:line="219" w:lineRule="auto"/>
        <w:jc w:val="right"/>
        <w:rPr>
          <w:rFonts w:ascii="宋体" w:hAnsi="宋体" w:eastAsia="宋体" w:cs="宋体"/>
          <w:sz w:val="15"/>
          <w:szCs w:val="15"/>
        </w:rPr>
      </w:pPr>
      <w:r>
        <w:rPr>
          <w:rFonts w:ascii="宋体" w:hAnsi="宋体" w:eastAsia="宋体" w:cs="宋体"/>
          <w:spacing w:val="4"/>
          <w:sz w:val="15"/>
          <w:szCs w:val="15"/>
        </w:rPr>
        <w:t>注：当商业设于一类高层公共建筑内时，高位消防水箱最小有效容积应取其较大值。</w:t>
      </w:r>
    </w:p>
    <w:p>
      <w:pPr>
        <w:spacing w:before="205" w:line="254" w:lineRule="auto"/>
        <w:ind w:right="45"/>
        <w:rPr>
          <w:rFonts w:ascii="宋体" w:hAnsi="宋体" w:eastAsia="宋体" w:cs="宋体"/>
          <w:sz w:val="21"/>
          <w:szCs w:val="21"/>
        </w:rPr>
      </w:pPr>
      <w:r>
        <w:rPr>
          <w:rFonts w:ascii="宋体" w:hAnsi="宋体" w:eastAsia="宋体" w:cs="宋体"/>
          <w:spacing w:val="-4"/>
          <w:sz w:val="21"/>
          <w:szCs w:val="21"/>
        </w:rPr>
        <w:t>4.2.5消防水池(箱)应设就地水位显示、溢流、缺水</w:t>
      </w:r>
      <w:r>
        <w:rPr>
          <w:rFonts w:ascii="宋体" w:hAnsi="宋体" w:eastAsia="宋体" w:cs="宋体"/>
          <w:spacing w:val="-5"/>
          <w:sz w:val="21"/>
          <w:szCs w:val="21"/>
        </w:rPr>
        <w:t>水位报警装置，并应在火灾自动报警系统主机上同时显示和报警。</w:t>
      </w:r>
    </w:p>
    <w:p>
      <w:pPr>
        <w:spacing w:before="70" w:line="261" w:lineRule="auto"/>
        <w:ind w:right="45"/>
        <w:rPr>
          <w:rFonts w:ascii="宋体" w:hAnsi="宋体" w:eastAsia="宋体" w:cs="宋体"/>
          <w:sz w:val="21"/>
          <w:szCs w:val="21"/>
        </w:rPr>
      </w:pPr>
      <w:r>
        <w:rPr>
          <w:rFonts w:ascii="宋体" w:hAnsi="宋体" w:eastAsia="宋体" w:cs="宋体"/>
          <w:spacing w:val="2"/>
          <w:sz w:val="21"/>
          <w:szCs w:val="21"/>
        </w:rPr>
        <w:t>4.2.6消防水泵、消防水池(箱)及消防水泵房的设计应符合现</w:t>
      </w:r>
      <w:r>
        <w:rPr>
          <w:rFonts w:ascii="宋体" w:hAnsi="宋体" w:eastAsia="宋体" w:cs="宋体"/>
          <w:spacing w:val="-4"/>
          <w:sz w:val="21"/>
          <w:szCs w:val="21"/>
        </w:rPr>
        <w:t>行国家标准《消防设施通用规范》GB55036、</w:t>
      </w:r>
      <w:r>
        <w:rPr>
          <w:rFonts w:ascii="宋体" w:hAnsi="宋体" w:eastAsia="宋体" w:cs="宋体"/>
          <w:spacing w:val="-5"/>
          <w:sz w:val="21"/>
          <w:szCs w:val="21"/>
        </w:rPr>
        <w:t>《消防给水及消火栓</w:t>
      </w:r>
      <w:r>
        <w:rPr>
          <w:rFonts w:ascii="宋体" w:hAnsi="宋体" w:eastAsia="宋体" w:cs="宋体"/>
          <w:spacing w:val="-6"/>
          <w:sz w:val="21"/>
          <w:szCs w:val="21"/>
        </w:rPr>
        <w:t>系统技术规范》</w:t>
      </w:r>
      <w:r>
        <w:rPr>
          <w:rFonts w:ascii="Times New Roman" w:hAnsi="Times New Roman" w:eastAsia="Times New Roman" w:cs="Times New Roman"/>
          <w:spacing w:val="-6"/>
          <w:sz w:val="21"/>
          <w:szCs w:val="21"/>
        </w:rPr>
        <w:t>GB50974</w:t>
      </w:r>
      <w:r>
        <w:rPr>
          <w:rFonts w:ascii="宋体" w:hAnsi="宋体" w:eastAsia="宋体" w:cs="宋体"/>
          <w:spacing w:val="-6"/>
          <w:sz w:val="21"/>
          <w:szCs w:val="21"/>
        </w:rPr>
        <w:t>的规定。</w:t>
      </w:r>
    </w:p>
    <w:p>
      <w:pPr>
        <w:spacing w:before="89" w:line="246" w:lineRule="auto"/>
        <w:ind w:right="38"/>
        <w:rPr>
          <w:rFonts w:ascii="宋体" w:hAnsi="宋体" w:eastAsia="宋体" w:cs="宋体"/>
          <w:sz w:val="21"/>
          <w:szCs w:val="21"/>
        </w:rPr>
      </w:pPr>
      <w:r>
        <w:rPr>
          <w:rFonts w:ascii="Times New Roman" w:hAnsi="Times New Roman" w:eastAsia="Times New Roman" w:cs="Times New Roman"/>
          <w:spacing w:val="4"/>
          <w:sz w:val="21"/>
          <w:szCs w:val="21"/>
        </w:rPr>
        <w:t>4.2.7</w:t>
      </w:r>
      <w:r>
        <w:rPr>
          <w:rFonts w:ascii="宋体" w:hAnsi="宋体" w:eastAsia="宋体" w:cs="宋体"/>
          <w:spacing w:val="4"/>
          <w:sz w:val="21"/>
          <w:szCs w:val="21"/>
        </w:rPr>
        <w:t>当室内消防给水系统竖向分区供水时，宜对各分</w:t>
      </w:r>
      <w:r>
        <w:rPr>
          <w:rFonts w:ascii="宋体" w:hAnsi="宋体" w:eastAsia="宋体" w:cs="宋体"/>
          <w:spacing w:val="3"/>
          <w:sz w:val="21"/>
          <w:szCs w:val="21"/>
        </w:rPr>
        <w:t>区分别</w:t>
      </w:r>
      <w:r>
        <w:rPr>
          <w:rFonts w:ascii="宋体" w:hAnsi="宋体" w:eastAsia="宋体" w:cs="宋体"/>
          <w:spacing w:val="-1"/>
          <w:sz w:val="21"/>
          <w:szCs w:val="21"/>
        </w:rPr>
        <w:t>独立设置水泵接合器。小于或等于消防车供水高度的分区</w:t>
      </w:r>
      <w:r>
        <w:rPr>
          <w:rFonts w:ascii="宋体" w:hAnsi="宋体" w:eastAsia="宋体" w:cs="宋体"/>
          <w:spacing w:val="-2"/>
          <w:sz w:val="21"/>
          <w:szCs w:val="21"/>
        </w:rPr>
        <w:t>，当采</w:t>
      </w:r>
    </w:p>
    <w:p>
      <w:pPr>
        <w:spacing w:line="246" w:lineRule="auto"/>
        <w:rPr>
          <w:rFonts w:ascii="宋体" w:hAnsi="宋体" w:eastAsia="宋体" w:cs="宋体"/>
          <w:sz w:val="21"/>
          <w:szCs w:val="21"/>
        </w:rPr>
        <w:sectPr>
          <w:footerReference r:id="rId26" w:type="default"/>
          <w:pgSz w:w="8280" w:h="11850"/>
          <w:pgMar w:top="1007" w:right="1184" w:bottom="1330" w:left="1200" w:header="0" w:footer="1056" w:gutter="0"/>
          <w:cols w:space="720" w:num="1"/>
        </w:sectPr>
      </w:pPr>
    </w:p>
    <w:p>
      <w:pPr>
        <w:spacing w:before="309" w:line="274" w:lineRule="auto"/>
        <w:ind w:right="7"/>
        <w:jc w:val="both"/>
        <w:rPr>
          <w:rFonts w:ascii="宋体" w:hAnsi="宋体" w:eastAsia="宋体" w:cs="宋体"/>
          <w:sz w:val="21"/>
          <w:szCs w:val="21"/>
        </w:rPr>
      </w:pPr>
      <w:r>
        <w:rPr>
          <w:rFonts w:ascii="宋体" w:hAnsi="宋体" w:eastAsia="宋体" w:cs="宋体"/>
          <w:spacing w:val="-1"/>
          <w:sz w:val="21"/>
          <w:szCs w:val="21"/>
        </w:rPr>
        <w:t>用减压阀组分区时，可仅在高区消防给水系统的干管上设置水泵</w:t>
      </w:r>
      <w:r>
        <w:rPr>
          <w:rFonts w:ascii="宋体" w:hAnsi="宋体" w:eastAsia="宋体" w:cs="宋体"/>
          <w:sz w:val="21"/>
          <w:szCs w:val="21"/>
        </w:rPr>
        <w:t>接合器。超过消防车供水高度的分区，应在</w:t>
      </w:r>
      <w:r>
        <w:rPr>
          <w:rFonts w:ascii="宋体" w:hAnsi="宋体" w:eastAsia="宋体" w:cs="宋体"/>
          <w:spacing w:val="-1"/>
          <w:sz w:val="21"/>
          <w:szCs w:val="21"/>
        </w:rPr>
        <w:t>设备层等方便操作的</w:t>
      </w:r>
      <w:r>
        <w:rPr>
          <w:rFonts w:ascii="宋体" w:hAnsi="宋体" w:eastAsia="宋体" w:cs="宋体"/>
          <w:spacing w:val="8"/>
          <w:sz w:val="21"/>
          <w:szCs w:val="21"/>
        </w:rPr>
        <w:t>地点设置手抬泵或移动泵接力供水的吸水接</w:t>
      </w:r>
      <w:r>
        <w:rPr>
          <w:rFonts w:ascii="宋体" w:hAnsi="宋体" w:eastAsia="宋体" w:cs="宋体"/>
          <w:spacing w:val="7"/>
          <w:sz w:val="21"/>
          <w:szCs w:val="21"/>
        </w:rPr>
        <w:t>口和出水接口。吸</w:t>
      </w:r>
      <w:r>
        <w:rPr>
          <w:rFonts w:ascii="宋体" w:hAnsi="宋体" w:eastAsia="宋体" w:cs="宋体"/>
          <w:spacing w:val="-1"/>
          <w:sz w:val="21"/>
          <w:szCs w:val="21"/>
        </w:rPr>
        <w:t>水接口和出水接口均应设置永久性固定标志。</w:t>
      </w:r>
    </w:p>
    <w:p>
      <w:pPr>
        <w:spacing w:before="25" w:line="266" w:lineRule="auto"/>
        <w:ind w:right="7" w:firstLine="3"/>
        <w:rPr>
          <w:rFonts w:ascii="宋体" w:hAnsi="宋体" w:eastAsia="宋体" w:cs="宋体"/>
          <w:sz w:val="21"/>
          <w:szCs w:val="21"/>
        </w:rPr>
      </w:pPr>
      <w:r>
        <w:rPr>
          <w:rFonts w:ascii="宋体" w:hAnsi="宋体" w:eastAsia="宋体" w:cs="宋体"/>
          <w:b/>
          <w:bCs/>
          <w:spacing w:val="3"/>
          <w:sz w:val="21"/>
          <w:szCs w:val="21"/>
        </w:rPr>
        <w:t>4.2.8</w:t>
      </w:r>
      <w:r>
        <w:rPr>
          <w:rFonts w:ascii="宋体" w:hAnsi="宋体" w:eastAsia="宋体" w:cs="宋体"/>
          <w:spacing w:val="3"/>
          <w:sz w:val="21"/>
          <w:szCs w:val="21"/>
        </w:rPr>
        <w:t>水泵接合器应采用地上式或侧墙式。建筑外墙</w:t>
      </w:r>
      <w:r>
        <w:rPr>
          <w:rFonts w:ascii="宋体" w:hAnsi="宋体" w:eastAsia="宋体" w:cs="宋体"/>
          <w:spacing w:val="2"/>
          <w:sz w:val="21"/>
          <w:szCs w:val="21"/>
        </w:rPr>
        <w:t>设置有玻</w:t>
      </w:r>
      <w:r>
        <w:rPr>
          <w:rFonts w:ascii="宋体" w:hAnsi="宋体" w:eastAsia="宋体" w:cs="宋体"/>
          <w:spacing w:val="-1"/>
          <w:sz w:val="21"/>
          <w:szCs w:val="21"/>
        </w:rPr>
        <w:t>璃幕墙或采用火灾时可能脱落的墙体装饰材料或构造时，水泵接</w:t>
      </w:r>
      <w:r>
        <w:rPr>
          <w:rFonts w:ascii="宋体" w:hAnsi="宋体" w:eastAsia="宋体" w:cs="宋体"/>
          <w:spacing w:val="7"/>
          <w:sz w:val="21"/>
          <w:szCs w:val="21"/>
        </w:rPr>
        <w:t>合器应设置在距离建筑外墙有一定距离且相对安全的位置或采</w:t>
      </w:r>
      <w:r>
        <w:rPr>
          <w:rFonts w:ascii="宋体" w:hAnsi="宋体" w:eastAsia="宋体" w:cs="宋体"/>
          <w:spacing w:val="-1"/>
          <w:sz w:val="21"/>
          <w:szCs w:val="21"/>
        </w:rPr>
        <w:t>取安全防护措施。</w:t>
      </w:r>
    </w:p>
    <w:p>
      <w:pPr>
        <w:spacing w:before="68" w:line="255" w:lineRule="auto"/>
        <w:ind w:firstLine="3"/>
        <w:rPr>
          <w:rFonts w:ascii="宋体" w:hAnsi="宋体" w:eastAsia="宋体" w:cs="宋体"/>
          <w:sz w:val="21"/>
          <w:szCs w:val="21"/>
        </w:rPr>
      </w:pPr>
      <w:r>
        <w:rPr>
          <w:rFonts w:ascii="宋体" w:hAnsi="宋体" w:eastAsia="宋体" w:cs="宋体"/>
          <w:b/>
          <w:bCs/>
          <w:spacing w:val="3"/>
          <w:sz w:val="21"/>
          <w:szCs w:val="21"/>
        </w:rPr>
        <w:t>4.2.9</w:t>
      </w:r>
      <w:r>
        <w:rPr>
          <w:rFonts w:ascii="宋体" w:hAnsi="宋体" w:eastAsia="宋体" w:cs="宋体"/>
          <w:spacing w:val="3"/>
          <w:sz w:val="21"/>
          <w:szCs w:val="21"/>
        </w:rPr>
        <w:t>水泵接合器应设置在每栋建筑附近。当多栋建筑合用临</w:t>
      </w:r>
      <w:r>
        <w:rPr>
          <w:rFonts w:ascii="宋体" w:hAnsi="宋体" w:eastAsia="宋体" w:cs="宋体"/>
          <w:spacing w:val="-1"/>
          <w:sz w:val="21"/>
          <w:szCs w:val="21"/>
        </w:rPr>
        <w:t>时高压消防给水系统时，相邻建筑水泵接合器可合用。每个消防</w:t>
      </w:r>
      <w:r>
        <w:rPr>
          <w:rFonts w:ascii="宋体" w:hAnsi="宋体" w:eastAsia="宋体" w:cs="宋体"/>
          <w:sz w:val="21"/>
          <w:szCs w:val="21"/>
        </w:rPr>
        <w:t>给水系统设置消防水泵接合器数量应满足设计</w:t>
      </w:r>
      <w:r>
        <w:rPr>
          <w:rFonts w:ascii="宋体" w:hAnsi="宋体" w:eastAsia="宋体" w:cs="宋体"/>
          <w:spacing w:val="-1"/>
          <w:sz w:val="21"/>
          <w:szCs w:val="21"/>
        </w:rPr>
        <w:t>流量的要求。</w:t>
      </w:r>
    </w:p>
    <w:p>
      <w:pPr>
        <w:spacing w:before="79" w:line="250" w:lineRule="auto"/>
        <w:ind w:right="7" w:firstLine="3"/>
        <w:rPr>
          <w:rFonts w:ascii="宋体" w:hAnsi="宋体" w:eastAsia="宋体" w:cs="宋体"/>
          <w:sz w:val="21"/>
          <w:szCs w:val="21"/>
        </w:rPr>
      </w:pPr>
      <w:r>
        <w:rPr>
          <w:rFonts w:ascii="宋体" w:hAnsi="宋体" w:eastAsia="宋体" w:cs="宋体"/>
          <w:b/>
          <w:bCs/>
          <w:spacing w:val="-1"/>
          <w:sz w:val="21"/>
          <w:szCs w:val="21"/>
        </w:rPr>
        <w:t>4.2.10</w:t>
      </w:r>
      <w:r>
        <w:rPr>
          <w:rFonts w:ascii="宋体" w:hAnsi="宋体" w:eastAsia="宋体" w:cs="宋体"/>
          <w:spacing w:val="-1"/>
          <w:sz w:val="21"/>
          <w:szCs w:val="21"/>
        </w:rPr>
        <w:t>水泵接合器应设置永久性固定标志，并标明供水系统名</w:t>
      </w:r>
      <w:r>
        <w:rPr>
          <w:rFonts w:ascii="宋体" w:hAnsi="宋体" w:eastAsia="宋体" w:cs="宋体"/>
          <w:spacing w:val="-5"/>
          <w:sz w:val="21"/>
          <w:szCs w:val="21"/>
        </w:rPr>
        <w:t>称、供水范围(包括供水服务建筑)和额定压力。</w:t>
      </w:r>
    </w:p>
    <w:p>
      <w:pPr>
        <w:pStyle w:val="2"/>
        <w:spacing w:line="309" w:lineRule="auto"/>
      </w:pPr>
    </w:p>
    <w:p>
      <w:pPr>
        <w:spacing w:before="68" w:line="219" w:lineRule="auto"/>
        <w:ind w:left="2142"/>
        <w:outlineLvl w:val="1"/>
        <w:rPr>
          <w:rFonts w:ascii="宋体" w:hAnsi="宋体" w:eastAsia="宋体" w:cs="宋体"/>
          <w:sz w:val="21"/>
          <w:szCs w:val="21"/>
        </w:rPr>
      </w:pPr>
      <w:bookmarkStart w:id="18" w:name="bookmark13"/>
      <w:bookmarkEnd w:id="18"/>
      <w:r>
        <w:rPr>
          <w:rFonts w:ascii="宋体" w:hAnsi="宋体" w:eastAsia="宋体" w:cs="宋体"/>
          <w:b/>
          <w:bCs/>
          <w:sz w:val="21"/>
          <w:szCs w:val="21"/>
        </w:rPr>
        <w:t>4.3消防用水量</w:t>
      </w:r>
    </w:p>
    <w:p>
      <w:pPr>
        <w:pStyle w:val="2"/>
        <w:spacing w:line="324" w:lineRule="auto"/>
      </w:pPr>
    </w:p>
    <w:p>
      <w:pPr>
        <w:spacing w:before="69" w:line="259" w:lineRule="auto"/>
        <w:ind w:right="16"/>
        <w:rPr>
          <w:rFonts w:ascii="宋体" w:hAnsi="宋体" w:eastAsia="宋体" w:cs="宋体"/>
          <w:sz w:val="21"/>
          <w:szCs w:val="21"/>
        </w:rPr>
      </w:pPr>
      <w:r>
        <w:rPr>
          <w:rFonts w:ascii="宋体" w:hAnsi="宋体" w:eastAsia="宋体" w:cs="宋体"/>
          <w:spacing w:val="3"/>
          <w:sz w:val="21"/>
          <w:szCs w:val="21"/>
        </w:rPr>
        <w:t>4.3.1民用建筑的消防用水总量应按火灾次数设计，同一时间</w:t>
      </w:r>
      <w:r>
        <w:rPr>
          <w:rFonts w:ascii="宋体" w:hAnsi="宋体" w:eastAsia="宋体" w:cs="宋体"/>
          <w:spacing w:val="-1"/>
          <w:sz w:val="21"/>
          <w:szCs w:val="21"/>
        </w:rPr>
        <w:t>内一次消防用水量应按最大一座建筑物的室内、</w:t>
      </w:r>
      <w:r>
        <w:rPr>
          <w:rFonts w:ascii="宋体" w:hAnsi="宋体" w:eastAsia="宋体" w:cs="宋体"/>
          <w:spacing w:val="-2"/>
          <w:sz w:val="21"/>
          <w:szCs w:val="21"/>
        </w:rPr>
        <w:t>室外消防用水量</w:t>
      </w:r>
      <w:r>
        <w:rPr>
          <w:rFonts w:ascii="宋体" w:hAnsi="宋体" w:eastAsia="宋体" w:cs="宋体"/>
          <w:spacing w:val="-1"/>
          <w:sz w:val="21"/>
          <w:szCs w:val="21"/>
        </w:rPr>
        <w:t>之和计算。成组布置的建筑物，应按相邻两座最大建筑物体积之</w:t>
      </w:r>
      <w:r>
        <w:rPr>
          <w:rFonts w:ascii="宋体" w:hAnsi="宋体" w:eastAsia="宋体" w:cs="宋体"/>
          <w:spacing w:val="-2"/>
          <w:sz w:val="21"/>
          <w:szCs w:val="21"/>
        </w:rPr>
        <w:t>和确定室外消火栓设计流量。</w:t>
      </w:r>
    </w:p>
    <w:p>
      <w:pPr>
        <w:spacing w:before="80" w:line="262" w:lineRule="auto"/>
        <w:ind w:right="3"/>
        <w:rPr>
          <w:rFonts w:ascii="宋体" w:hAnsi="宋体" w:eastAsia="宋体" w:cs="宋体"/>
          <w:sz w:val="21"/>
          <w:szCs w:val="21"/>
        </w:rPr>
      </w:pPr>
      <w:r>
        <w:rPr>
          <w:rFonts w:ascii="宋体" w:hAnsi="宋体" w:eastAsia="宋体" w:cs="宋体"/>
          <w:spacing w:val="3"/>
          <w:sz w:val="21"/>
          <w:szCs w:val="21"/>
        </w:rPr>
        <w:t>4.3.2室外消防用水量应为建筑在室外设置的各种灭火系统需</w:t>
      </w:r>
      <w:r>
        <w:rPr>
          <w:rFonts w:ascii="宋体" w:hAnsi="宋体" w:eastAsia="宋体" w:cs="宋体"/>
          <w:spacing w:val="8"/>
          <w:sz w:val="21"/>
          <w:szCs w:val="21"/>
        </w:rPr>
        <w:t>要同时开启的系统设计流量之和。室内消防</w:t>
      </w:r>
      <w:r>
        <w:rPr>
          <w:rFonts w:ascii="宋体" w:hAnsi="宋体" w:eastAsia="宋体" w:cs="宋体"/>
          <w:spacing w:val="7"/>
          <w:sz w:val="21"/>
          <w:szCs w:val="21"/>
        </w:rPr>
        <w:t>用水量应为建筑室</w:t>
      </w:r>
      <w:r>
        <w:rPr>
          <w:rFonts w:ascii="宋体" w:hAnsi="宋体" w:eastAsia="宋体" w:cs="宋体"/>
          <w:spacing w:val="-8"/>
          <w:sz w:val="21"/>
          <w:szCs w:val="21"/>
        </w:rPr>
        <w:t>内设置的消火栓、自动喷水、水喷雾、自动跟踪定位射流、泡沫等</w:t>
      </w:r>
      <w:r>
        <w:rPr>
          <w:rFonts w:ascii="宋体" w:hAnsi="宋体" w:eastAsia="宋体" w:cs="宋体"/>
          <w:spacing w:val="7"/>
          <w:sz w:val="21"/>
          <w:szCs w:val="21"/>
        </w:rPr>
        <w:t>灭火系统需要同时开启的系统设计流量之和。两座及以上</w:t>
      </w:r>
      <w:r>
        <w:rPr>
          <w:rFonts w:ascii="宋体" w:hAnsi="宋体" w:eastAsia="宋体" w:cs="宋体"/>
          <w:spacing w:val="6"/>
          <w:sz w:val="21"/>
          <w:szCs w:val="21"/>
        </w:rPr>
        <w:t>建筑</w:t>
      </w:r>
      <w:r>
        <w:rPr>
          <w:rFonts w:ascii="宋体" w:hAnsi="宋体" w:eastAsia="宋体" w:cs="宋体"/>
          <w:spacing w:val="-7"/>
          <w:sz w:val="21"/>
          <w:szCs w:val="21"/>
        </w:rPr>
        <w:t>合用消防给水系统时，应取最大者。</w:t>
      </w:r>
    </w:p>
    <w:p>
      <w:pPr>
        <w:spacing w:before="101" w:line="266" w:lineRule="auto"/>
        <w:ind w:right="7"/>
        <w:rPr>
          <w:rFonts w:ascii="宋体" w:hAnsi="宋体" w:eastAsia="宋体" w:cs="宋体"/>
          <w:sz w:val="21"/>
          <w:szCs w:val="21"/>
        </w:rPr>
      </w:pPr>
      <w:r>
        <w:rPr>
          <w:rFonts w:ascii="Times New Roman" w:hAnsi="Times New Roman" w:eastAsia="Times New Roman" w:cs="Times New Roman"/>
          <w:b/>
          <w:bCs/>
          <w:spacing w:val="2"/>
          <w:sz w:val="21"/>
          <w:szCs w:val="21"/>
        </w:rPr>
        <w:t>4.3.3</w:t>
      </w:r>
      <w:r>
        <w:rPr>
          <w:rFonts w:ascii="宋体" w:hAnsi="宋体" w:eastAsia="宋体" w:cs="宋体"/>
          <w:spacing w:val="2"/>
          <w:sz w:val="21"/>
          <w:szCs w:val="21"/>
        </w:rPr>
        <w:t>当单座建筑的总建筑面积大于500000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时，室外消火</w:t>
      </w:r>
      <w:r>
        <w:rPr>
          <w:rFonts w:ascii="宋体" w:hAnsi="宋体" w:eastAsia="宋体" w:cs="宋体"/>
          <w:spacing w:val="7"/>
          <w:sz w:val="21"/>
          <w:szCs w:val="21"/>
        </w:rPr>
        <w:t>栓设计流量应按本标准表5.2.1规定的最大值增加1倍；当</w:t>
      </w:r>
      <w:r>
        <w:rPr>
          <w:rFonts w:ascii="宋体" w:hAnsi="宋体" w:eastAsia="宋体" w:cs="宋体"/>
          <w:spacing w:val="6"/>
          <w:sz w:val="21"/>
          <w:szCs w:val="21"/>
        </w:rPr>
        <w:t>公共</w:t>
      </w:r>
      <w:r>
        <w:rPr>
          <w:rFonts w:ascii="宋体" w:hAnsi="宋体" w:eastAsia="宋体" w:cs="宋体"/>
          <w:spacing w:val="-1"/>
          <w:sz w:val="21"/>
          <w:szCs w:val="21"/>
        </w:rPr>
        <w:t>建筑物、联体建筑群等共用一套消防给水系统时，其保护的总建</w:t>
      </w:r>
      <w:r>
        <w:rPr>
          <w:rFonts w:ascii="宋体" w:hAnsi="宋体" w:eastAsia="宋体" w:cs="宋体"/>
          <w:spacing w:val="8"/>
          <w:sz w:val="21"/>
          <w:szCs w:val="21"/>
        </w:rPr>
        <w:t>筑面积不应大于500000</w:t>
      </w:r>
      <w:r>
        <w:rPr>
          <w:rFonts w:ascii="Times New Roman" w:hAnsi="Times New Roman" w:eastAsia="Times New Roman" w:cs="Times New Roman"/>
          <w:spacing w:val="8"/>
          <w:sz w:val="21"/>
          <w:szCs w:val="21"/>
        </w:rPr>
        <w:t>m²</w:t>
      </w:r>
      <w:r>
        <w:rPr>
          <w:rFonts w:ascii="宋体" w:hAnsi="宋体" w:eastAsia="宋体" w:cs="宋体"/>
          <w:spacing w:val="8"/>
          <w:sz w:val="21"/>
          <w:szCs w:val="21"/>
        </w:rPr>
        <w:t>。</w:t>
      </w:r>
    </w:p>
    <w:p>
      <w:pPr>
        <w:spacing w:line="266" w:lineRule="auto"/>
        <w:rPr>
          <w:rFonts w:ascii="宋体" w:hAnsi="宋体" w:eastAsia="宋体" w:cs="宋体"/>
          <w:sz w:val="21"/>
          <w:szCs w:val="21"/>
        </w:rPr>
        <w:sectPr>
          <w:footerReference r:id="rId27" w:type="default"/>
          <w:pgSz w:w="8280" w:h="11850"/>
          <w:pgMar w:top="1007" w:right="1203" w:bottom="1320" w:left="1190" w:header="0" w:footer="1047" w:gutter="0"/>
          <w:cols w:space="720" w:num="1"/>
        </w:sectPr>
      </w:pPr>
    </w:p>
    <w:p>
      <w:pPr>
        <w:pStyle w:val="2"/>
        <w:spacing w:line="310" w:lineRule="auto"/>
      </w:pPr>
    </w:p>
    <w:p>
      <w:pPr>
        <w:pStyle w:val="2"/>
        <w:spacing w:line="310" w:lineRule="auto"/>
      </w:pPr>
    </w:p>
    <w:p>
      <w:pPr>
        <w:spacing w:before="65" w:line="221" w:lineRule="auto"/>
        <w:ind w:left="2262"/>
        <w:outlineLvl w:val="1"/>
        <w:rPr>
          <w:rFonts w:ascii="宋体" w:hAnsi="宋体" w:eastAsia="宋体" w:cs="宋体"/>
          <w:sz w:val="20"/>
          <w:szCs w:val="20"/>
        </w:rPr>
      </w:pPr>
      <w:bookmarkStart w:id="19" w:name="bookmark14"/>
      <w:bookmarkEnd w:id="19"/>
      <w:r>
        <w:rPr>
          <w:rFonts w:ascii="宋体" w:hAnsi="宋体" w:eastAsia="宋体" w:cs="宋体"/>
          <w:b/>
          <w:bCs/>
          <w:spacing w:val="1"/>
          <w:sz w:val="20"/>
          <w:szCs w:val="20"/>
        </w:rPr>
        <w:t>4.4系统形式</w:t>
      </w:r>
    </w:p>
    <w:p>
      <w:pPr>
        <w:pStyle w:val="2"/>
        <w:spacing w:line="335" w:lineRule="auto"/>
      </w:pPr>
    </w:p>
    <w:p>
      <w:pPr>
        <w:spacing w:before="65" w:line="270" w:lineRule="auto"/>
        <w:rPr>
          <w:rFonts w:ascii="宋体" w:hAnsi="宋体" w:eastAsia="宋体" w:cs="宋体"/>
          <w:sz w:val="20"/>
          <w:szCs w:val="20"/>
        </w:rPr>
      </w:pPr>
      <w:r>
        <w:rPr>
          <w:rFonts w:ascii="宋体" w:hAnsi="宋体" w:eastAsia="宋体" w:cs="宋体"/>
          <w:spacing w:val="12"/>
          <w:sz w:val="20"/>
          <w:szCs w:val="20"/>
        </w:rPr>
        <w:t>4.4.1室内消火栓给水系统宜与自动喷水灭火系统</w:t>
      </w:r>
      <w:r>
        <w:rPr>
          <w:rFonts w:ascii="宋体" w:hAnsi="宋体" w:eastAsia="宋体" w:cs="宋体"/>
          <w:spacing w:val="11"/>
          <w:sz w:val="20"/>
          <w:szCs w:val="20"/>
        </w:rPr>
        <w:t>的管网分开</w:t>
      </w:r>
      <w:r>
        <w:rPr>
          <w:rFonts w:ascii="宋体" w:hAnsi="宋体" w:eastAsia="宋体" w:cs="宋体"/>
          <w:spacing w:val="4"/>
          <w:sz w:val="20"/>
          <w:szCs w:val="20"/>
        </w:rPr>
        <w:t>设置。确有困难时，二类高层建筑及单、多层建筑可合用消防泵，</w:t>
      </w:r>
      <w:r>
        <w:rPr>
          <w:rFonts w:ascii="宋体" w:hAnsi="宋体" w:eastAsia="宋体" w:cs="宋体"/>
          <w:spacing w:val="8"/>
          <w:sz w:val="20"/>
          <w:szCs w:val="20"/>
        </w:rPr>
        <w:t>但管网应在自动喷水灭火系统的报警阀前(沿水流方向)分开。</w:t>
      </w:r>
    </w:p>
    <w:p>
      <w:pPr>
        <w:spacing w:before="83" w:line="257" w:lineRule="auto"/>
        <w:ind w:right="72" w:firstLine="2"/>
        <w:rPr>
          <w:rFonts w:ascii="宋体" w:hAnsi="宋体" w:eastAsia="宋体" w:cs="宋体"/>
          <w:sz w:val="20"/>
          <w:szCs w:val="20"/>
        </w:rPr>
      </w:pPr>
      <w:r>
        <w:rPr>
          <w:rFonts w:ascii="宋体" w:hAnsi="宋体" w:eastAsia="宋体" w:cs="宋体"/>
          <w:b/>
          <w:bCs/>
          <w:spacing w:val="11"/>
          <w:sz w:val="20"/>
          <w:szCs w:val="20"/>
        </w:rPr>
        <w:t>4.4.2</w:t>
      </w:r>
      <w:r>
        <w:rPr>
          <w:rFonts w:ascii="宋体" w:hAnsi="宋体" w:eastAsia="宋体" w:cs="宋体"/>
          <w:spacing w:val="11"/>
          <w:sz w:val="20"/>
          <w:szCs w:val="20"/>
        </w:rPr>
        <w:t>消火栓给水系统与自动喷水灭火系统</w:t>
      </w:r>
      <w:r>
        <w:rPr>
          <w:rFonts w:ascii="宋体" w:hAnsi="宋体" w:eastAsia="宋体" w:cs="宋体"/>
          <w:spacing w:val="10"/>
          <w:sz w:val="20"/>
          <w:szCs w:val="20"/>
        </w:rPr>
        <w:t>的消防稳压泵不得</w:t>
      </w:r>
      <w:r>
        <w:rPr>
          <w:rFonts w:ascii="宋体" w:hAnsi="宋体" w:eastAsia="宋体" w:cs="宋体"/>
          <w:spacing w:val="7"/>
          <w:sz w:val="20"/>
          <w:szCs w:val="20"/>
        </w:rPr>
        <w:t>合用(合用消防泵的除外)。</w:t>
      </w:r>
    </w:p>
    <w:p>
      <w:pPr>
        <w:spacing w:before="71" w:line="257" w:lineRule="auto"/>
        <w:ind w:right="67"/>
        <w:rPr>
          <w:rFonts w:ascii="宋体" w:hAnsi="宋体" w:eastAsia="宋体" w:cs="宋体"/>
          <w:sz w:val="20"/>
          <w:szCs w:val="20"/>
        </w:rPr>
      </w:pPr>
      <w:r>
        <w:rPr>
          <w:rFonts w:ascii="Times New Roman" w:hAnsi="Times New Roman" w:eastAsia="Times New Roman" w:cs="Times New Roman"/>
          <w:b/>
          <w:bCs/>
          <w:spacing w:val="13"/>
          <w:sz w:val="20"/>
          <w:szCs w:val="20"/>
        </w:rPr>
        <w:t>4.4.3</w:t>
      </w:r>
      <w:r>
        <w:rPr>
          <w:rFonts w:ascii="宋体" w:hAnsi="宋体" w:eastAsia="宋体" w:cs="宋体"/>
          <w:spacing w:val="13"/>
          <w:sz w:val="20"/>
          <w:szCs w:val="20"/>
        </w:rPr>
        <w:t>当建筑高度小于或等于120</w:t>
      </w:r>
      <w:r>
        <w:rPr>
          <w:rFonts w:ascii="Times New Roman" w:hAnsi="Times New Roman" w:eastAsia="Times New Roman" w:cs="Times New Roman"/>
          <w:spacing w:val="13"/>
          <w:sz w:val="20"/>
          <w:szCs w:val="20"/>
        </w:rPr>
        <w:t>m</w:t>
      </w:r>
      <w:r>
        <w:rPr>
          <w:rFonts w:ascii="宋体" w:hAnsi="宋体" w:eastAsia="宋体" w:cs="宋体"/>
          <w:spacing w:val="13"/>
          <w:sz w:val="20"/>
          <w:szCs w:val="20"/>
        </w:rPr>
        <w:t>时，消防给水竖向分区宜</w:t>
      </w:r>
      <w:r>
        <w:rPr>
          <w:rFonts w:ascii="宋体" w:hAnsi="宋体" w:eastAsia="宋体" w:cs="宋体"/>
          <w:spacing w:val="3"/>
          <w:sz w:val="20"/>
          <w:szCs w:val="20"/>
        </w:rPr>
        <w:t>采用减压阀分区、消防泵并联分区给水系统。</w:t>
      </w:r>
    </w:p>
    <w:p>
      <w:pPr>
        <w:spacing w:before="74" w:line="261" w:lineRule="auto"/>
        <w:ind w:right="77"/>
        <w:rPr>
          <w:rFonts w:ascii="宋体" w:hAnsi="宋体" w:eastAsia="宋体" w:cs="宋体"/>
          <w:sz w:val="20"/>
          <w:szCs w:val="20"/>
        </w:rPr>
      </w:pPr>
      <w:r>
        <w:rPr>
          <w:rFonts w:ascii="Times New Roman" w:hAnsi="Times New Roman" w:eastAsia="Times New Roman" w:cs="Times New Roman"/>
          <w:b/>
          <w:bCs/>
          <w:spacing w:val="13"/>
          <w:sz w:val="20"/>
          <w:szCs w:val="20"/>
        </w:rPr>
        <w:t>4.4.4</w:t>
      </w:r>
      <w:r>
        <w:rPr>
          <w:rFonts w:ascii="宋体" w:hAnsi="宋体" w:eastAsia="宋体" w:cs="宋体"/>
          <w:spacing w:val="13"/>
          <w:sz w:val="20"/>
          <w:szCs w:val="20"/>
        </w:rPr>
        <w:t>当建筑高度大于120</w:t>
      </w:r>
      <w:r>
        <w:rPr>
          <w:rFonts w:ascii="Times New Roman" w:hAnsi="Times New Roman" w:eastAsia="Times New Roman" w:cs="Times New Roman"/>
          <w:spacing w:val="13"/>
          <w:sz w:val="20"/>
          <w:szCs w:val="20"/>
        </w:rPr>
        <w:t>m</w:t>
      </w:r>
      <w:r>
        <w:rPr>
          <w:rFonts w:ascii="宋体" w:hAnsi="宋体" w:eastAsia="宋体" w:cs="宋体"/>
          <w:spacing w:val="13"/>
          <w:sz w:val="20"/>
          <w:szCs w:val="20"/>
        </w:rPr>
        <w:t>且小于或等于250</w:t>
      </w:r>
      <w:r>
        <w:rPr>
          <w:rFonts w:ascii="Times New Roman" w:hAnsi="Times New Roman" w:eastAsia="Times New Roman" w:cs="Times New Roman"/>
          <w:spacing w:val="13"/>
          <w:sz w:val="20"/>
          <w:szCs w:val="20"/>
        </w:rPr>
        <w:t>m</w:t>
      </w:r>
      <w:r>
        <w:rPr>
          <w:rFonts w:ascii="宋体" w:hAnsi="宋体" w:eastAsia="宋体" w:cs="宋体"/>
          <w:spacing w:val="13"/>
          <w:sz w:val="20"/>
          <w:szCs w:val="20"/>
        </w:rPr>
        <w:t>时，消防给</w:t>
      </w:r>
      <w:r>
        <w:rPr>
          <w:rFonts w:ascii="宋体" w:hAnsi="宋体" w:eastAsia="宋体" w:cs="宋体"/>
          <w:spacing w:val="9"/>
          <w:sz w:val="20"/>
          <w:szCs w:val="20"/>
        </w:rPr>
        <w:t>水竖向分区宜采用消防水泵串联或减压水箱分区供水形式。</w:t>
      </w:r>
    </w:p>
    <w:p>
      <w:pPr>
        <w:spacing w:before="73" w:line="257" w:lineRule="auto"/>
        <w:ind w:right="71"/>
        <w:rPr>
          <w:rFonts w:ascii="宋体" w:hAnsi="宋体" w:eastAsia="宋体" w:cs="宋体"/>
          <w:sz w:val="20"/>
          <w:szCs w:val="20"/>
        </w:rPr>
      </w:pPr>
      <w:r>
        <w:rPr>
          <w:rFonts w:ascii="Times New Roman" w:hAnsi="Times New Roman" w:eastAsia="Times New Roman" w:cs="Times New Roman"/>
          <w:b/>
          <w:bCs/>
          <w:spacing w:val="8"/>
          <w:sz w:val="20"/>
          <w:szCs w:val="20"/>
        </w:rPr>
        <w:t>4.4.5</w:t>
      </w:r>
      <w:r>
        <w:rPr>
          <w:rFonts w:ascii="宋体" w:hAnsi="宋体" w:eastAsia="宋体" w:cs="宋体"/>
          <w:spacing w:val="8"/>
          <w:sz w:val="20"/>
          <w:szCs w:val="20"/>
        </w:rPr>
        <w:t>当建筑高度大于250</w:t>
      </w:r>
      <w:r>
        <w:rPr>
          <w:rFonts w:ascii="Times New Roman" w:hAnsi="Times New Roman" w:eastAsia="Times New Roman" w:cs="Times New Roman"/>
          <w:spacing w:val="8"/>
          <w:sz w:val="20"/>
          <w:szCs w:val="20"/>
        </w:rPr>
        <w:t>m</w:t>
      </w:r>
      <w:r>
        <w:rPr>
          <w:rFonts w:ascii="宋体" w:hAnsi="宋体" w:eastAsia="宋体" w:cs="宋体"/>
          <w:spacing w:val="8"/>
          <w:sz w:val="20"/>
          <w:szCs w:val="20"/>
        </w:rPr>
        <w:t>时，室内消防给水系统应采用高位消防水池和地面(地下)消防水池供水形式。</w:t>
      </w:r>
    </w:p>
    <w:p>
      <w:pPr>
        <w:spacing w:before="74" w:line="258" w:lineRule="auto"/>
        <w:ind w:right="63" w:firstLine="2"/>
        <w:rPr>
          <w:rFonts w:ascii="宋体" w:hAnsi="宋体" w:eastAsia="宋体" w:cs="宋体"/>
          <w:sz w:val="20"/>
          <w:szCs w:val="20"/>
        </w:rPr>
      </w:pPr>
      <w:r>
        <w:rPr>
          <w:rFonts w:ascii="宋体" w:hAnsi="宋体" w:eastAsia="宋体" w:cs="宋体"/>
          <w:b/>
          <w:bCs/>
          <w:spacing w:val="11"/>
          <w:sz w:val="20"/>
          <w:szCs w:val="20"/>
        </w:rPr>
        <w:t>4.4.6</w:t>
      </w:r>
      <w:r>
        <w:rPr>
          <w:rFonts w:ascii="宋体" w:hAnsi="宋体" w:eastAsia="宋体" w:cs="宋体"/>
          <w:spacing w:val="11"/>
          <w:sz w:val="20"/>
          <w:szCs w:val="20"/>
        </w:rPr>
        <w:t>采用消防水泵串联或减压水箱分区供水时，应符合下列</w:t>
      </w:r>
      <w:r>
        <w:rPr>
          <w:rFonts w:ascii="宋体" w:hAnsi="宋体" w:eastAsia="宋体" w:cs="宋体"/>
          <w:spacing w:val="6"/>
          <w:sz w:val="20"/>
          <w:szCs w:val="20"/>
        </w:rPr>
        <w:t>规定：</w:t>
      </w:r>
    </w:p>
    <w:p>
      <w:pPr>
        <w:spacing w:before="91" w:line="248" w:lineRule="auto"/>
        <w:ind w:right="50" w:firstLine="439"/>
        <w:rPr>
          <w:rFonts w:ascii="宋体" w:hAnsi="宋体" w:eastAsia="宋体" w:cs="宋体"/>
          <w:sz w:val="20"/>
          <w:szCs w:val="20"/>
        </w:rPr>
      </w:pPr>
      <w:r>
        <w:rPr>
          <w:rFonts w:ascii="宋体" w:hAnsi="宋体" w:eastAsia="宋体" w:cs="宋体"/>
          <w:spacing w:val="12"/>
          <w:sz w:val="20"/>
          <w:szCs w:val="20"/>
        </w:rPr>
        <w:t>1各级系统应设中间转输水箱、分区高位消防水箱或减压</w:t>
      </w:r>
      <w:r>
        <w:rPr>
          <w:rFonts w:ascii="宋体" w:hAnsi="宋体" w:eastAsia="宋体" w:cs="宋体"/>
          <w:spacing w:val="6"/>
          <w:sz w:val="20"/>
          <w:szCs w:val="20"/>
        </w:rPr>
        <w:t>水箱。</w:t>
      </w:r>
    </w:p>
    <w:p>
      <w:pPr>
        <w:spacing w:before="79" w:line="277" w:lineRule="auto"/>
        <w:ind w:right="68" w:firstLine="439"/>
        <w:rPr>
          <w:rFonts w:ascii="宋体" w:hAnsi="宋体" w:eastAsia="宋体" w:cs="宋体"/>
          <w:sz w:val="20"/>
          <w:szCs w:val="20"/>
        </w:rPr>
      </w:pPr>
      <w:r>
        <w:rPr>
          <w:rFonts w:ascii="宋体" w:hAnsi="宋体" w:eastAsia="宋体" w:cs="宋体"/>
          <w:spacing w:val="11"/>
          <w:sz w:val="20"/>
          <w:szCs w:val="20"/>
        </w:rPr>
        <w:t>2采用消防水泵直接串联的给水系统，中间高位消防水箱</w:t>
      </w:r>
      <w:r>
        <w:rPr>
          <w:rFonts w:ascii="宋体" w:hAnsi="宋体" w:eastAsia="宋体" w:cs="宋体"/>
          <w:spacing w:val="16"/>
          <w:sz w:val="20"/>
          <w:szCs w:val="20"/>
        </w:rPr>
        <w:t>的有效容积不应小于18</w:t>
      </w:r>
      <w:r>
        <w:rPr>
          <w:rFonts w:ascii="Times New Roman" w:hAnsi="Times New Roman" w:eastAsia="Times New Roman" w:cs="Times New Roman"/>
          <w:spacing w:val="16"/>
          <w:sz w:val="20"/>
          <w:szCs w:val="20"/>
        </w:rPr>
        <w:t>m³;</w:t>
      </w:r>
      <w:r>
        <w:rPr>
          <w:rFonts w:ascii="宋体" w:hAnsi="宋体" w:eastAsia="宋体" w:cs="宋体"/>
          <w:spacing w:val="16"/>
          <w:sz w:val="20"/>
          <w:szCs w:val="20"/>
        </w:rPr>
        <w:t>采用中间水箱转输的消防水泵串联</w:t>
      </w:r>
      <w:r>
        <w:rPr>
          <w:rFonts w:ascii="宋体" w:hAnsi="宋体" w:eastAsia="宋体" w:cs="宋体"/>
          <w:spacing w:val="8"/>
          <w:sz w:val="20"/>
          <w:szCs w:val="20"/>
        </w:rPr>
        <w:t>给水系统，中间转输水箱的有效容积不应小于60m³,转输水箱可</w:t>
      </w:r>
      <w:r>
        <w:rPr>
          <w:rFonts w:ascii="宋体" w:hAnsi="宋体" w:eastAsia="宋体" w:cs="宋体"/>
          <w:spacing w:val="6"/>
          <w:sz w:val="20"/>
          <w:szCs w:val="20"/>
        </w:rPr>
        <w:t>同时作为下级高位消防水箱。</w:t>
      </w:r>
    </w:p>
    <w:p>
      <w:pPr>
        <w:spacing w:before="82" w:line="264" w:lineRule="auto"/>
        <w:ind w:right="70" w:firstLine="439"/>
        <w:rPr>
          <w:rFonts w:ascii="宋体" w:hAnsi="宋体" w:eastAsia="宋体" w:cs="宋体"/>
          <w:sz w:val="20"/>
          <w:szCs w:val="20"/>
        </w:rPr>
      </w:pPr>
      <w:r>
        <w:rPr>
          <w:rFonts w:ascii="宋体" w:hAnsi="宋体" w:eastAsia="宋体" w:cs="宋体"/>
          <w:spacing w:val="11"/>
          <w:sz w:val="20"/>
          <w:szCs w:val="20"/>
        </w:rPr>
        <w:t>3采用消防水泵直接串联的给水系统，应采取确保供水可</w:t>
      </w:r>
      <w:r>
        <w:rPr>
          <w:rFonts w:ascii="宋体" w:hAnsi="宋体" w:eastAsia="宋体" w:cs="宋体"/>
          <w:spacing w:val="9"/>
          <w:sz w:val="20"/>
          <w:szCs w:val="20"/>
        </w:rPr>
        <w:t>靠性的措施；室内消火栓给水系统和自动喷水灭火系统</w:t>
      </w:r>
      <w:r>
        <w:rPr>
          <w:rFonts w:ascii="宋体" w:hAnsi="宋体" w:eastAsia="宋体" w:cs="宋体"/>
          <w:spacing w:val="8"/>
          <w:sz w:val="20"/>
          <w:szCs w:val="20"/>
        </w:rPr>
        <w:t>应分别设</w:t>
      </w:r>
      <w:r>
        <w:rPr>
          <w:rFonts w:ascii="宋体" w:hAnsi="宋体" w:eastAsia="宋体" w:cs="宋体"/>
          <w:spacing w:val="6"/>
          <w:sz w:val="20"/>
          <w:szCs w:val="20"/>
        </w:rPr>
        <w:t>置转输泵。</w:t>
      </w:r>
    </w:p>
    <w:p>
      <w:pPr>
        <w:spacing w:before="90" w:line="270" w:lineRule="auto"/>
        <w:ind w:right="50" w:firstLine="439"/>
        <w:rPr>
          <w:rFonts w:ascii="宋体" w:hAnsi="宋体" w:eastAsia="宋体" w:cs="宋体"/>
          <w:sz w:val="20"/>
          <w:szCs w:val="20"/>
        </w:rPr>
      </w:pPr>
      <w:r>
        <w:rPr>
          <w:rFonts w:ascii="宋体" w:hAnsi="宋体" w:eastAsia="宋体" w:cs="宋体"/>
          <w:spacing w:val="12"/>
          <w:sz w:val="20"/>
          <w:szCs w:val="20"/>
        </w:rPr>
        <w:t>4采用中间水箱转输的串联消防泵给水系统，转输泵的设</w:t>
      </w:r>
      <w:r>
        <w:rPr>
          <w:rFonts w:ascii="宋体" w:hAnsi="宋体" w:eastAsia="宋体" w:cs="宋体"/>
          <w:spacing w:val="2"/>
          <w:sz w:val="20"/>
          <w:szCs w:val="20"/>
        </w:rPr>
        <w:t>置位置应依据消防车的供水高度、避难层的</w:t>
      </w:r>
      <w:r>
        <w:rPr>
          <w:rFonts w:ascii="宋体" w:hAnsi="宋体" w:eastAsia="宋体" w:cs="宋体"/>
          <w:spacing w:val="1"/>
          <w:sz w:val="20"/>
          <w:szCs w:val="20"/>
        </w:rPr>
        <w:t>位置、管材、阀门能承</w:t>
      </w:r>
      <w:r>
        <w:rPr>
          <w:rFonts w:ascii="宋体" w:hAnsi="宋体" w:eastAsia="宋体" w:cs="宋体"/>
          <w:spacing w:val="9"/>
          <w:sz w:val="20"/>
          <w:szCs w:val="20"/>
        </w:rPr>
        <w:t>受的压力等综合确定。消防转输泵应独立设置，转输水量不应小于建筑内需同时开启的水灭火系统的流量之和；室内消</w:t>
      </w:r>
      <w:r>
        <w:rPr>
          <w:rFonts w:ascii="宋体" w:hAnsi="宋体" w:eastAsia="宋体" w:cs="宋体"/>
          <w:spacing w:val="8"/>
          <w:sz w:val="20"/>
          <w:szCs w:val="20"/>
        </w:rPr>
        <w:t>火栓给水</w:t>
      </w:r>
    </w:p>
    <w:p>
      <w:pPr>
        <w:spacing w:line="270" w:lineRule="auto"/>
        <w:rPr>
          <w:rFonts w:ascii="宋体" w:hAnsi="宋体" w:eastAsia="宋体" w:cs="宋体"/>
          <w:sz w:val="20"/>
          <w:szCs w:val="20"/>
        </w:rPr>
        <w:sectPr>
          <w:footerReference r:id="rId28" w:type="default"/>
          <w:pgSz w:w="8280" w:h="11850"/>
          <w:pgMar w:top="1007" w:right="1169" w:bottom="1286" w:left="1190" w:header="0" w:footer="974" w:gutter="0"/>
          <w:cols w:space="720" w:num="1"/>
        </w:sectPr>
      </w:pPr>
    </w:p>
    <w:p>
      <w:pPr>
        <w:spacing w:before="271" w:line="281" w:lineRule="auto"/>
        <w:ind w:right="97"/>
        <w:rPr>
          <w:rFonts w:ascii="宋体" w:hAnsi="宋体" w:eastAsia="宋体" w:cs="宋体"/>
          <w:sz w:val="21"/>
          <w:szCs w:val="21"/>
        </w:rPr>
      </w:pPr>
      <w:bookmarkStart w:id="20" w:name="bookmark81"/>
      <w:bookmarkEnd w:id="20"/>
      <w:r>
        <w:rPr>
          <w:rFonts w:ascii="宋体" w:hAnsi="宋体" w:eastAsia="宋体" w:cs="宋体"/>
          <w:spacing w:val="-1"/>
          <w:sz w:val="21"/>
          <w:szCs w:val="21"/>
        </w:rPr>
        <w:t>系统和自动喷水灭火系统的消防转输泵可合并设置，并应设置备</w:t>
      </w:r>
      <w:r>
        <w:rPr>
          <w:rFonts w:ascii="宋体" w:hAnsi="宋体" w:eastAsia="宋体" w:cs="宋体"/>
          <w:spacing w:val="-5"/>
          <w:sz w:val="21"/>
          <w:szCs w:val="21"/>
        </w:rPr>
        <w:t>用泵，备用泵流量不应小于最大一台转输泵的流量。</w:t>
      </w:r>
    </w:p>
    <w:p>
      <w:pPr>
        <w:spacing w:before="1" w:line="254" w:lineRule="auto"/>
        <w:ind w:right="95" w:firstLine="420"/>
        <w:rPr>
          <w:rFonts w:ascii="宋体" w:hAnsi="宋体" w:eastAsia="宋体" w:cs="宋体"/>
          <w:sz w:val="21"/>
          <w:szCs w:val="21"/>
        </w:rPr>
      </w:pPr>
      <w:r>
        <w:rPr>
          <w:rFonts w:ascii="宋体" w:hAnsi="宋体" w:eastAsia="宋体" w:cs="宋体"/>
          <w:spacing w:val="7"/>
          <w:sz w:val="21"/>
          <w:szCs w:val="21"/>
        </w:rPr>
        <w:t>5转输给水管不应少于2条，管径应按需同时开启的水灭</w:t>
      </w:r>
      <w:r>
        <w:rPr>
          <w:rFonts w:ascii="宋体" w:hAnsi="宋体" w:eastAsia="宋体" w:cs="宋体"/>
          <w:spacing w:val="-4"/>
          <w:sz w:val="21"/>
          <w:szCs w:val="21"/>
        </w:rPr>
        <w:t>火系统的流量之和确定。</w:t>
      </w:r>
    </w:p>
    <w:p>
      <w:pPr>
        <w:spacing w:before="69" w:line="270" w:lineRule="auto"/>
        <w:ind w:right="84" w:firstLine="420"/>
        <w:rPr>
          <w:rFonts w:ascii="宋体" w:hAnsi="宋体" w:eastAsia="宋体" w:cs="宋体"/>
          <w:sz w:val="17"/>
          <w:szCs w:val="17"/>
        </w:rPr>
      </w:pPr>
      <w:r>
        <w:rPr>
          <w:rFonts w:ascii="宋体" w:hAnsi="宋体" w:eastAsia="宋体" w:cs="宋体"/>
          <w:spacing w:val="-4"/>
          <w:sz w:val="21"/>
          <w:szCs w:val="21"/>
        </w:rPr>
        <w:t>6中间水箱的溢流管应采用间接排水；非消防状态下，中间</w:t>
      </w:r>
      <w:r>
        <w:rPr>
          <w:rFonts w:ascii="宋体" w:hAnsi="宋体" w:eastAsia="宋体" w:cs="宋体"/>
          <w:spacing w:val="15"/>
          <w:sz w:val="21"/>
          <w:szCs w:val="21"/>
        </w:rPr>
        <w:t>水箱可由生活给水系统补水，生活补水管应设置防回流污染</w:t>
      </w:r>
      <w:r>
        <w:rPr>
          <w:rFonts w:ascii="宋体" w:hAnsi="宋体" w:eastAsia="宋体" w:cs="宋体"/>
          <w:spacing w:val="-5"/>
          <w:sz w:val="17"/>
          <w:szCs w:val="17"/>
        </w:rPr>
        <w:t>措施。</w:t>
      </w:r>
    </w:p>
    <w:p>
      <w:pPr>
        <w:spacing w:before="68" w:line="260" w:lineRule="auto"/>
        <w:ind w:right="85" w:firstLine="420"/>
        <w:rPr>
          <w:rFonts w:ascii="宋体" w:hAnsi="宋体" w:eastAsia="宋体" w:cs="宋体"/>
          <w:sz w:val="21"/>
          <w:szCs w:val="21"/>
        </w:rPr>
      </w:pPr>
      <w:r>
        <w:rPr>
          <w:rFonts w:ascii="宋体" w:hAnsi="宋体" w:eastAsia="宋体" w:cs="宋体"/>
          <w:spacing w:val="3"/>
          <w:sz w:val="21"/>
          <w:szCs w:val="21"/>
        </w:rPr>
        <w:t>7采用减压水箱分区供水形式，减压水箱之间的设置高度</w:t>
      </w:r>
      <w:r>
        <w:rPr>
          <w:rFonts w:ascii="宋体" w:hAnsi="宋体" w:eastAsia="宋体" w:cs="宋体"/>
          <w:spacing w:val="1"/>
          <w:sz w:val="21"/>
          <w:szCs w:val="21"/>
        </w:rPr>
        <w:t>不应大于200</w:t>
      </w:r>
      <w:r>
        <w:rPr>
          <w:rFonts w:ascii="Times New Roman" w:hAnsi="Times New Roman" w:eastAsia="Times New Roman" w:cs="Times New Roman"/>
          <w:spacing w:val="1"/>
          <w:sz w:val="21"/>
          <w:szCs w:val="21"/>
        </w:rPr>
        <w:t>m;</w:t>
      </w:r>
      <w:r>
        <w:rPr>
          <w:rFonts w:ascii="宋体" w:hAnsi="宋体" w:eastAsia="宋体" w:cs="宋体"/>
          <w:spacing w:val="1"/>
          <w:sz w:val="21"/>
          <w:szCs w:val="21"/>
        </w:rPr>
        <w:t>减压水箱进水管上宜设置可</w:t>
      </w:r>
      <w:r>
        <w:rPr>
          <w:rFonts w:ascii="宋体" w:hAnsi="宋体" w:eastAsia="宋体" w:cs="宋体"/>
          <w:sz w:val="21"/>
          <w:szCs w:val="21"/>
        </w:rPr>
        <w:t>紧急关闭的阀门；当</w:t>
      </w:r>
      <w:r>
        <w:rPr>
          <w:rFonts w:ascii="宋体" w:hAnsi="宋体" w:eastAsia="宋体" w:cs="宋体"/>
          <w:spacing w:val="-4"/>
          <w:sz w:val="21"/>
          <w:szCs w:val="21"/>
        </w:rPr>
        <w:t>采用减压阀减压分区时，应采取减压阀失效后的安全措施。</w:t>
      </w:r>
    </w:p>
    <w:p>
      <w:pPr>
        <w:spacing w:before="71" w:line="261" w:lineRule="auto"/>
        <w:ind w:firstLine="420"/>
        <w:rPr>
          <w:rFonts w:ascii="宋体" w:hAnsi="宋体" w:eastAsia="宋体" w:cs="宋体"/>
          <w:sz w:val="21"/>
          <w:szCs w:val="21"/>
        </w:rPr>
      </w:pPr>
      <w:r>
        <w:rPr>
          <w:rFonts w:ascii="宋体" w:hAnsi="宋体" w:eastAsia="宋体" w:cs="宋体"/>
          <w:spacing w:val="3"/>
          <w:sz w:val="21"/>
          <w:szCs w:val="21"/>
        </w:rPr>
        <w:t>8采用减压水箱分区供水形式，消防减压水箱应分为2格；减压水箱应有2条进水管和出水管，每条进、出水管应满足消防</w:t>
      </w:r>
      <w:r>
        <w:rPr>
          <w:rFonts w:ascii="宋体" w:hAnsi="宋体" w:eastAsia="宋体" w:cs="宋体"/>
          <w:spacing w:val="-1"/>
          <w:sz w:val="21"/>
          <w:szCs w:val="21"/>
        </w:rPr>
        <w:t>给水系统所需消防用水量的要求。</w:t>
      </w:r>
    </w:p>
    <w:p>
      <w:pPr>
        <w:spacing w:before="71" w:line="245" w:lineRule="auto"/>
        <w:ind w:right="93" w:firstLine="420"/>
        <w:rPr>
          <w:rFonts w:ascii="宋体" w:hAnsi="宋体" w:eastAsia="宋体" w:cs="宋体"/>
          <w:sz w:val="21"/>
          <w:szCs w:val="21"/>
        </w:rPr>
      </w:pPr>
      <w:r>
        <w:rPr>
          <w:rFonts w:ascii="宋体" w:hAnsi="宋体" w:eastAsia="宋体" w:cs="宋体"/>
          <w:spacing w:val="3"/>
          <w:sz w:val="21"/>
          <w:szCs w:val="21"/>
        </w:rPr>
        <w:t>9手抬泵吸水接管和出水接管接口的设置位置应根据消防</w:t>
      </w:r>
      <w:r>
        <w:rPr>
          <w:rFonts w:ascii="宋体" w:hAnsi="宋体" w:eastAsia="宋体" w:cs="宋体"/>
          <w:spacing w:val="-4"/>
          <w:sz w:val="21"/>
          <w:szCs w:val="21"/>
        </w:rPr>
        <w:t>车实际垂直供水高度确定。</w:t>
      </w:r>
    </w:p>
    <w:p>
      <w:pPr>
        <w:spacing w:before="71" w:line="219" w:lineRule="auto"/>
        <w:rPr>
          <w:rFonts w:ascii="宋体" w:hAnsi="宋体" w:eastAsia="宋体" w:cs="宋体"/>
          <w:sz w:val="21"/>
          <w:szCs w:val="21"/>
        </w:rPr>
      </w:pPr>
      <w:r>
        <w:rPr>
          <w:rFonts w:ascii="Times New Roman" w:hAnsi="Times New Roman" w:eastAsia="Times New Roman" w:cs="Times New Roman"/>
          <w:b/>
          <w:bCs/>
          <w:spacing w:val="-4"/>
          <w:sz w:val="21"/>
          <w:szCs w:val="21"/>
        </w:rPr>
        <w:t>4.4.7</w:t>
      </w:r>
      <w:r>
        <w:rPr>
          <w:rFonts w:ascii="宋体" w:hAnsi="宋体" w:eastAsia="宋体" w:cs="宋体"/>
          <w:spacing w:val="-4"/>
          <w:sz w:val="21"/>
          <w:szCs w:val="21"/>
        </w:rPr>
        <w:t>采用高压消防给水系统时，应符合下列规定：</w:t>
      </w:r>
    </w:p>
    <w:p>
      <w:pPr>
        <w:spacing w:before="51" w:line="261" w:lineRule="auto"/>
        <w:ind w:right="84" w:firstLine="420"/>
        <w:rPr>
          <w:rFonts w:ascii="宋体" w:hAnsi="宋体" w:eastAsia="宋体" w:cs="宋体"/>
          <w:sz w:val="21"/>
          <w:szCs w:val="21"/>
        </w:rPr>
      </w:pPr>
      <w:r>
        <w:rPr>
          <w:rFonts w:ascii="宋体" w:hAnsi="宋体" w:eastAsia="宋体" w:cs="宋体"/>
          <w:spacing w:val="4"/>
          <w:sz w:val="21"/>
          <w:szCs w:val="21"/>
        </w:rPr>
        <w:t>1室内消防给水系统应采用高位消防水池</w:t>
      </w:r>
      <w:r>
        <w:rPr>
          <w:rFonts w:ascii="宋体" w:hAnsi="宋体" w:eastAsia="宋体" w:cs="宋体"/>
          <w:spacing w:val="3"/>
          <w:sz w:val="21"/>
          <w:szCs w:val="21"/>
        </w:rPr>
        <w:t>和地面(地下)消</w:t>
      </w:r>
      <w:r>
        <w:rPr>
          <w:rFonts w:ascii="宋体" w:hAnsi="宋体" w:eastAsia="宋体" w:cs="宋体"/>
          <w:spacing w:val="-1"/>
          <w:sz w:val="21"/>
          <w:szCs w:val="21"/>
        </w:rPr>
        <w:t>防水池联合供水形式；高位消防水池、地面(地下)消防水池的有效容积应分别满足火灾延续时间内的全部消防用水量。</w:t>
      </w:r>
    </w:p>
    <w:p>
      <w:pPr>
        <w:spacing w:before="60" w:line="274" w:lineRule="auto"/>
        <w:ind w:right="96" w:firstLine="420"/>
        <w:rPr>
          <w:rFonts w:ascii="宋体" w:hAnsi="宋体" w:eastAsia="宋体" w:cs="宋体"/>
          <w:sz w:val="17"/>
          <w:szCs w:val="17"/>
        </w:rPr>
      </w:pPr>
      <w:r>
        <w:rPr>
          <w:rFonts w:ascii="宋体" w:hAnsi="宋体" w:eastAsia="宋体" w:cs="宋体"/>
          <w:spacing w:val="11"/>
          <w:sz w:val="21"/>
          <w:szCs w:val="21"/>
        </w:rPr>
        <w:t>2高位消防水池(箱)设置位置应高于其所服务的水灭火</w:t>
      </w:r>
      <w:r>
        <w:rPr>
          <w:rFonts w:ascii="宋体" w:hAnsi="宋体" w:eastAsia="宋体" w:cs="宋体"/>
          <w:spacing w:val="-6"/>
          <w:sz w:val="17"/>
          <w:szCs w:val="17"/>
        </w:rPr>
        <w:t>设施。</w:t>
      </w:r>
    </w:p>
    <w:p>
      <w:pPr>
        <w:spacing w:before="88" w:line="254" w:lineRule="auto"/>
        <w:ind w:right="84" w:firstLine="420"/>
        <w:rPr>
          <w:rFonts w:ascii="宋体" w:hAnsi="宋体" w:eastAsia="宋体" w:cs="宋体"/>
          <w:sz w:val="21"/>
          <w:szCs w:val="21"/>
        </w:rPr>
      </w:pPr>
      <w:r>
        <w:rPr>
          <w:rFonts w:ascii="宋体" w:hAnsi="宋体" w:eastAsia="宋体" w:cs="宋体"/>
          <w:spacing w:val="3"/>
          <w:sz w:val="21"/>
          <w:szCs w:val="21"/>
        </w:rPr>
        <w:t>3不能满足消防给水流量和压力要求的楼层，应设置临时</w:t>
      </w:r>
      <w:r>
        <w:rPr>
          <w:rFonts w:ascii="宋体" w:hAnsi="宋体" w:eastAsia="宋体" w:cs="宋体"/>
          <w:spacing w:val="8"/>
          <w:sz w:val="21"/>
          <w:szCs w:val="21"/>
        </w:rPr>
        <w:t>高压消防给水系统。高位消防水箱的有效容积</w:t>
      </w:r>
      <w:r>
        <w:rPr>
          <w:rFonts w:ascii="宋体" w:hAnsi="宋体" w:eastAsia="宋体" w:cs="宋体"/>
          <w:spacing w:val="7"/>
          <w:sz w:val="21"/>
          <w:szCs w:val="21"/>
        </w:rPr>
        <w:t>应按临时高压消</w:t>
      </w:r>
      <w:r>
        <w:rPr>
          <w:rFonts w:ascii="宋体" w:hAnsi="宋体" w:eastAsia="宋体" w:cs="宋体"/>
          <w:spacing w:val="-2"/>
          <w:sz w:val="21"/>
          <w:szCs w:val="21"/>
        </w:rPr>
        <w:t>防给水系统服务区段建筑功能及供水高度确定。</w:t>
      </w:r>
    </w:p>
    <w:p>
      <w:pPr>
        <w:spacing w:before="60" w:line="264" w:lineRule="auto"/>
        <w:ind w:right="94" w:firstLine="420"/>
        <w:rPr>
          <w:rFonts w:ascii="宋体" w:hAnsi="宋体" w:eastAsia="宋体" w:cs="宋体"/>
          <w:sz w:val="21"/>
          <w:szCs w:val="21"/>
        </w:rPr>
      </w:pPr>
      <w:r>
        <w:rPr>
          <w:rFonts w:ascii="宋体" w:hAnsi="宋体" w:eastAsia="宋体" w:cs="宋体"/>
          <w:spacing w:val="3"/>
          <w:sz w:val="21"/>
          <w:szCs w:val="21"/>
        </w:rPr>
        <w:t>4高压消防给水系统的高位消防水池应设置专用消防转输</w:t>
      </w:r>
      <w:r>
        <w:rPr>
          <w:rFonts w:ascii="宋体" w:hAnsi="宋体" w:eastAsia="宋体" w:cs="宋体"/>
          <w:spacing w:val="7"/>
          <w:sz w:val="21"/>
          <w:szCs w:val="21"/>
        </w:rPr>
        <w:t>水泵，消防转输泵、转输给水管及溢流管的要求应符合本标准</w:t>
      </w:r>
      <w:r>
        <w:rPr>
          <w:rFonts w:ascii="宋体" w:hAnsi="宋体" w:eastAsia="宋体" w:cs="宋体"/>
          <w:spacing w:val="6"/>
          <w:sz w:val="21"/>
          <w:szCs w:val="21"/>
        </w:rPr>
        <w:t>第4.4.6条第4、5、6款的规定。</w:t>
      </w:r>
    </w:p>
    <w:p>
      <w:pPr>
        <w:spacing w:before="50" w:line="255" w:lineRule="auto"/>
        <w:ind w:right="96" w:firstLine="420"/>
        <w:rPr>
          <w:rFonts w:ascii="宋体" w:hAnsi="宋体" w:eastAsia="宋体" w:cs="宋体"/>
          <w:sz w:val="21"/>
          <w:szCs w:val="21"/>
        </w:rPr>
      </w:pPr>
      <w:r>
        <w:rPr>
          <w:rFonts w:ascii="宋体" w:hAnsi="宋体" w:eastAsia="宋体" w:cs="宋体"/>
          <w:spacing w:val="-4"/>
          <w:sz w:val="21"/>
          <w:szCs w:val="21"/>
        </w:rPr>
        <w:t>5减压水箱、供水管道和阀门设置、手抬泵设</w:t>
      </w:r>
      <w:r>
        <w:rPr>
          <w:rFonts w:ascii="宋体" w:hAnsi="宋体" w:eastAsia="宋体" w:cs="宋体"/>
          <w:spacing w:val="-5"/>
          <w:sz w:val="21"/>
          <w:szCs w:val="21"/>
        </w:rPr>
        <w:t>置应符合本标</w:t>
      </w:r>
      <w:r>
        <w:rPr>
          <w:rFonts w:ascii="宋体" w:hAnsi="宋体" w:eastAsia="宋体" w:cs="宋体"/>
          <w:spacing w:val="6"/>
          <w:sz w:val="21"/>
          <w:szCs w:val="21"/>
        </w:rPr>
        <w:t>准第4.4.6条第7、8、9款的规定。</w:t>
      </w:r>
    </w:p>
    <w:p>
      <w:pPr>
        <w:spacing w:line="255" w:lineRule="auto"/>
        <w:rPr>
          <w:rFonts w:ascii="宋体" w:hAnsi="宋体" w:eastAsia="宋体" w:cs="宋体"/>
          <w:sz w:val="21"/>
          <w:szCs w:val="21"/>
        </w:rPr>
        <w:sectPr>
          <w:footerReference r:id="rId29" w:type="default"/>
          <w:pgSz w:w="8280" w:h="11850"/>
          <w:pgMar w:top="1007" w:right="1135" w:bottom="1370" w:left="1179" w:header="0" w:footer="1097" w:gutter="0"/>
          <w:cols w:space="720" w:num="1"/>
        </w:sectPr>
      </w:pPr>
    </w:p>
    <w:p>
      <w:pPr>
        <w:pStyle w:val="2"/>
        <w:spacing w:line="263" w:lineRule="auto"/>
      </w:pPr>
    </w:p>
    <w:p>
      <w:pPr>
        <w:spacing w:before="65" w:line="219" w:lineRule="auto"/>
        <w:ind w:left="2"/>
        <w:rPr>
          <w:rFonts w:ascii="宋体" w:hAnsi="宋体" w:eastAsia="宋体" w:cs="宋体"/>
          <w:sz w:val="20"/>
          <w:szCs w:val="20"/>
        </w:rPr>
      </w:pPr>
      <w:r>
        <w:rPr>
          <w:rFonts w:ascii="宋体" w:hAnsi="宋体" w:eastAsia="宋体" w:cs="宋体"/>
          <w:b/>
          <w:bCs/>
          <w:spacing w:val="4"/>
          <w:sz w:val="20"/>
          <w:szCs w:val="20"/>
        </w:rPr>
        <w:t>4.4.8</w:t>
      </w:r>
      <w:r>
        <w:rPr>
          <w:rFonts w:ascii="宋体" w:hAnsi="宋体" w:eastAsia="宋体" w:cs="宋体"/>
          <w:spacing w:val="4"/>
          <w:sz w:val="20"/>
          <w:szCs w:val="20"/>
        </w:rPr>
        <w:t>采用减压阀分区的消防给水系统，应符合</w:t>
      </w:r>
      <w:r>
        <w:rPr>
          <w:rFonts w:ascii="宋体" w:hAnsi="宋体" w:eastAsia="宋体" w:cs="宋体"/>
          <w:spacing w:val="3"/>
          <w:sz w:val="20"/>
          <w:szCs w:val="20"/>
        </w:rPr>
        <w:t>下列规定：</w:t>
      </w:r>
    </w:p>
    <w:p>
      <w:pPr>
        <w:spacing w:before="84" w:line="254" w:lineRule="auto"/>
        <w:ind w:right="11" w:firstLine="422"/>
        <w:rPr>
          <w:rFonts w:ascii="宋体" w:hAnsi="宋体" w:eastAsia="宋体" w:cs="宋体"/>
          <w:sz w:val="20"/>
          <w:szCs w:val="20"/>
        </w:rPr>
      </w:pPr>
      <w:r>
        <w:rPr>
          <w:rFonts w:ascii="宋体" w:hAnsi="宋体" w:eastAsia="宋体" w:cs="宋体"/>
          <w:b/>
          <w:bCs/>
          <w:spacing w:val="11"/>
          <w:sz w:val="20"/>
          <w:szCs w:val="20"/>
        </w:rPr>
        <w:t>1</w:t>
      </w:r>
      <w:r>
        <w:rPr>
          <w:rFonts w:ascii="宋体" w:hAnsi="宋体" w:eastAsia="宋体" w:cs="宋体"/>
          <w:spacing w:val="11"/>
          <w:sz w:val="20"/>
          <w:szCs w:val="20"/>
        </w:rPr>
        <w:t>消防给水系统应在两根供水干管上分设减压阀，每组减</w:t>
      </w:r>
      <w:r>
        <w:rPr>
          <w:rFonts w:ascii="宋体" w:hAnsi="宋体" w:eastAsia="宋体" w:cs="宋体"/>
          <w:spacing w:val="5"/>
          <w:sz w:val="20"/>
          <w:szCs w:val="20"/>
        </w:rPr>
        <w:t>压阀宜设备用。</w:t>
      </w:r>
    </w:p>
    <w:p>
      <w:pPr>
        <w:spacing w:before="79" w:line="219" w:lineRule="auto"/>
        <w:ind w:left="422"/>
        <w:rPr>
          <w:rFonts w:ascii="宋体" w:hAnsi="宋体" w:eastAsia="宋体" w:cs="宋体"/>
          <w:sz w:val="20"/>
          <w:szCs w:val="20"/>
        </w:rPr>
      </w:pPr>
      <w:r>
        <w:rPr>
          <w:rFonts w:ascii="宋体" w:hAnsi="宋体" w:eastAsia="宋体" w:cs="宋体"/>
          <w:b/>
          <w:bCs/>
          <w:spacing w:val="8"/>
          <w:sz w:val="20"/>
          <w:szCs w:val="20"/>
        </w:rPr>
        <w:t>2</w:t>
      </w:r>
      <w:r>
        <w:rPr>
          <w:rFonts w:ascii="宋体" w:hAnsi="宋体" w:eastAsia="宋体" w:cs="宋体"/>
          <w:spacing w:val="8"/>
          <w:sz w:val="20"/>
          <w:szCs w:val="20"/>
        </w:rPr>
        <w:t>各区可合用消防高位水箱和水泵接合器。</w:t>
      </w:r>
    </w:p>
    <w:p>
      <w:pPr>
        <w:spacing w:before="80" w:line="264" w:lineRule="auto"/>
        <w:ind w:right="14" w:firstLine="419"/>
        <w:rPr>
          <w:rFonts w:ascii="宋体" w:hAnsi="宋体" w:eastAsia="宋体" w:cs="宋体"/>
          <w:sz w:val="20"/>
          <w:szCs w:val="20"/>
        </w:rPr>
      </w:pPr>
      <w:r>
        <w:rPr>
          <w:rFonts w:ascii="Times New Roman" w:hAnsi="Times New Roman" w:eastAsia="Times New Roman" w:cs="Times New Roman"/>
          <w:b/>
          <w:bCs/>
          <w:spacing w:val="9"/>
          <w:sz w:val="20"/>
          <w:szCs w:val="20"/>
        </w:rPr>
        <w:t>3</w:t>
      </w:r>
      <w:r>
        <w:rPr>
          <w:rFonts w:ascii="宋体" w:hAnsi="宋体" w:eastAsia="宋体" w:cs="宋体"/>
          <w:spacing w:val="9"/>
          <w:sz w:val="20"/>
          <w:szCs w:val="20"/>
        </w:rPr>
        <w:t>当建筑高度小于或等于100</w:t>
      </w:r>
      <w:r>
        <w:rPr>
          <w:rFonts w:ascii="Times New Roman" w:hAnsi="Times New Roman" w:eastAsia="Times New Roman" w:cs="Times New Roman"/>
          <w:spacing w:val="9"/>
          <w:sz w:val="20"/>
          <w:szCs w:val="20"/>
        </w:rPr>
        <w:t>m</w:t>
      </w:r>
      <w:r>
        <w:rPr>
          <w:rFonts w:ascii="宋体" w:hAnsi="宋体" w:eastAsia="宋体" w:cs="宋体"/>
          <w:spacing w:val="9"/>
          <w:sz w:val="20"/>
          <w:szCs w:val="20"/>
        </w:rPr>
        <w:t>时，减压阀可采用比例式</w:t>
      </w:r>
      <w:r>
        <w:rPr>
          <w:rFonts w:ascii="宋体" w:hAnsi="宋体" w:eastAsia="宋体" w:cs="宋体"/>
          <w:spacing w:val="1"/>
          <w:sz w:val="20"/>
          <w:szCs w:val="20"/>
        </w:rPr>
        <w:t>或可调式；当建筑高度大于100</w:t>
      </w:r>
      <w:r>
        <w:rPr>
          <w:rFonts w:ascii="Times New Roman" w:hAnsi="Times New Roman" w:eastAsia="Times New Roman" w:cs="Times New Roman"/>
          <w:spacing w:val="1"/>
          <w:sz w:val="20"/>
          <w:szCs w:val="20"/>
        </w:rPr>
        <w:t>m</w:t>
      </w:r>
      <w:r>
        <w:rPr>
          <w:rFonts w:ascii="宋体" w:hAnsi="宋体" w:eastAsia="宋体" w:cs="宋体"/>
          <w:spacing w:val="1"/>
          <w:sz w:val="20"/>
          <w:szCs w:val="20"/>
        </w:rPr>
        <w:t>时，减压阀宜采用</w:t>
      </w:r>
      <w:r>
        <w:rPr>
          <w:rFonts w:ascii="宋体" w:hAnsi="宋体" w:eastAsia="宋体" w:cs="宋体"/>
          <w:sz w:val="20"/>
          <w:szCs w:val="20"/>
        </w:rPr>
        <w:t>可调式，串联</w:t>
      </w:r>
      <w:r>
        <w:rPr>
          <w:rFonts w:ascii="宋体" w:hAnsi="宋体" w:eastAsia="宋体" w:cs="宋体"/>
          <w:spacing w:val="7"/>
          <w:sz w:val="20"/>
          <w:szCs w:val="20"/>
        </w:rPr>
        <w:t>减压阀应采用不同类型的减压阀。</w:t>
      </w:r>
    </w:p>
    <w:p>
      <w:pPr>
        <w:spacing w:before="85" w:line="269" w:lineRule="auto"/>
        <w:ind w:firstLine="422"/>
        <w:rPr>
          <w:rFonts w:ascii="宋体" w:hAnsi="宋体" w:eastAsia="宋体" w:cs="宋体"/>
          <w:sz w:val="20"/>
          <w:szCs w:val="20"/>
        </w:rPr>
      </w:pPr>
      <w:r>
        <w:rPr>
          <w:rFonts w:ascii="宋体" w:hAnsi="宋体" w:eastAsia="宋体" w:cs="宋体"/>
          <w:b/>
          <w:bCs/>
          <w:spacing w:val="15"/>
          <w:sz w:val="20"/>
          <w:szCs w:val="20"/>
        </w:rPr>
        <w:t>4</w:t>
      </w:r>
      <w:r>
        <w:rPr>
          <w:rFonts w:ascii="宋体" w:hAnsi="宋体" w:eastAsia="宋体" w:cs="宋体"/>
          <w:spacing w:val="15"/>
          <w:sz w:val="20"/>
          <w:szCs w:val="20"/>
        </w:rPr>
        <w:t>减压阀的减压比不宜大于3:1。当减压阀串联时，串联</w:t>
      </w:r>
      <w:r>
        <w:rPr>
          <w:rFonts w:ascii="宋体" w:hAnsi="宋体" w:eastAsia="宋体" w:cs="宋体"/>
          <w:spacing w:val="9"/>
          <w:sz w:val="20"/>
          <w:szCs w:val="20"/>
        </w:rPr>
        <w:t>减压不应大于两级，并应按其中一个失效情况下核算</w:t>
      </w:r>
      <w:r>
        <w:rPr>
          <w:rFonts w:ascii="宋体" w:hAnsi="宋体" w:eastAsia="宋体" w:cs="宋体"/>
          <w:spacing w:val="8"/>
          <w:sz w:val="20"/>
          <w:szCs w:val="20"/>
        </w:rPr>
        <w:t>阀后最高系</w:t>
      </w:r>
      <w:r>
        <w:rPr>
          <w:rFonts w:ascii="宋体" w:hAnsi="宋体" w:eastAsia="宋体" w:cs="宋体"/>
          <w:spacing w:val="9"/>
          <w:sz w:val="20"/>
          <w:szCs w:val="20"/>
        </w:rPr>
        <w:t>统工作压力；减压阀后应设置电接点远传压力表，在消防控制中</w:t>
      </w:r>
      <w:r>
        <w:rPr>
          <w:rFonts w:ascii="宋体" w:hAnsi="宋体" w:eastAsia="宋体" w:cs="宋体"/>
          <w:spacing w:val="4"/>
          <w:sz w:val="20"/>
          <w:szCs w:val="20"/>
        </w:rPr>
        <w:t>心显示系统压力，并在减压阀失效时报警且显示其位置。</w:t>
      </w:r>
    </w:p>
    <w:p>
      <w:pPr>
        <w:spacing w:line="269" w:lineRule="auto"/>
        <w:rPr>
          <w:rFonts w:ascii="宋体" w:hAnsi="宋体" w:eastAsia="宋体" w:cs="宋体"/>
          <w:sz w:val="20"/>
          <w:szCs w:val="20"/>
        </w:rPr>
        <w:sectPr>
          <w:footerReference r:id="rId30" w:type="default"/>
          <w:pgSz w:w="8280" w:h="11850"/>
          <w:pgMar w:top="1007" w:right="1217" w:bottom="1346" w:left="1210" w:header="0" w:footer="1034" w:gutter="0"/>
          <w:cols w:space="720" w:num="1"/>
        </w:sectPr>
      </w:pPr>
    </w:p>
    <w:p>
      <w:pPr>
        <w:pStyle w:val="2"/>
        <w:spacing w:line="287" w:lineRule="auto"/>
      </w:pPr>
    </w:p>
    <w:p>
      <w:pPr>
        <w:pStyle w:val="2"/>
        <w:spacing w:line="287" w:lineRule="auto"/>
      </w:pPr>
    </w:p>
    <w:p>
      <w:pPr>
        <w:pStyle w:val="2"/>
        <w:spacing w:line="287" w:lineRule="auto"/>
      </w:pPr>
    </w:p>
    <w:p>
      <w:pPr>
        <w:spacing w:before="91" w:line="221" w:lineRule="auto"/>
        <w:ind w:left="2023"/>
        <w:outlineLvl w:val="0"/>
        <w:rPr>
          <w:rFonts w:ascii="黑体" w:hAnsi="黑体" w:eastAsia="黑体" w:cs="黑体"/>
          <w:sz w:val="28"/>
          <w:szCs w:val="28"/>
        </w:rPr>
      </w:pPr>
      <w:bookmarkStart w:id="21" w:name="bookmark15"/>
      <w:bookmarkEnd w:id="21"/>
      <w:r>
        <w:rPr>
          <w:rFonts w:ascii="宋体" w:hAnsi="宋体" w:eastAsia="宋体" w:cs="宋体"/>
          <w:b/>
          <w:bCs/>
          <w:spacing w:val="-8"/>
          <w:sz w:val="28"/>
          <w:szCs w:val="28"/>
        </w:rPr>
        <w:t>5</w:t>
      </w:r>
      <w:r>
        <w:rPr>
          <w:rFonts w:ascii="黑体" w:hAnsi="黑体" w:eastAsia="黑体" w:cs="黑体"/>
          <w:b/>
          <w:bCs/>
          <w:spacing w:val="-8"/>
          <w:sz w:val="28"/>
          <w:szCs w:val="28"/>
        </w:rPr>
        <w:t>消火栓系统</w:t>
      </w:r>
    </w:p>
    <w:p>
      <w:pPr>
        <w:pStyle w:val="2"/>
        <w:spacing w:line="292" w:lineRule="auto"/>
      </w:pPr>
    </w:p>
    <w:p>
      <w:pPr>
        <w:pStyle w:val="2"/>
        <w:spacing w:line="292" w:lineRule="auto"/>
      </w:pPr>
    </w:p>
    <w:p>
      <w:pPr>
        <w:spacing w:before="65" w:line="221" w:lineRule="auto"/>
        <w:ind w:left="2232"/>
        <w:outlineLvl w:val="1"/>
        <w:rPr>
          <w:rFonts w:ascii="黑体" w:hAnsi="黑体" w:eastAsia="黑体" w:cs="黑体"/>
          <w:sz w:val="20"/>
          <w:szCs w:val="20"/>
        </w:rPr>
      </w:pPr>
      <w:bookmarkStart w:id="22" w:name="bookmark16"/>
      <w:bookmarkEnd w:id="22"/>
      <w:r>
        <w:rPr>
          <w:rFonts w:ascii="宋体" w:hAnsi="宋体" w:eastAsia="宋体" w:cs="宋体"/>
          <w:b/>
          <w:bCs/>
          <w:spacing w:val="1"/>
          <w:sz w:val="20"/>
          <w:szCs w:val="20"/>
        </w:rPr>
        <w:t>5.1</w:t>
      </w:r>
      <w:r>
        <w:rPr>
          <w:rFonts w:ascii="黑体" w:hAnsi="黑体" w:eastAsia="黑体" w:cs="黑体"/>
          <w:b/>
          <w:bCs/>
          <w:spacing w:val="1"/>
          <w:sz w:val="20"/>
          <w:szCs w:val="20"/>
        </w:rPr>
        <w:t>一般规定</w:t>
      </w:r>
    </w:p>
    <w:p>
      <w:pPr>
        <w:pStyle w:val="2"/>
        <w:spacing w:line="326" w:lineRule="auto"/>
      </w:pPr>
    </w:p>
    <w:p>
      <w:pPr>
        <w:spacing w:before="65" w:line="258" w:lineRule="auto"/>
        <w:ind w:right="8"/>
        <w:rPr>
          <w:rFonts w:ascii="宋体" w:hAnsi="宋体" w:eastAsia="宋体" w:cs="宋体"/>
          <w:sz w:val="20"/>
          <w:szCs w:val="20"/>
        </w:rPr>
      </w:pPr>
      <w:r>
        <w:rPr>
          <w:rFonts w:ascii="宋体" w:hAnsi="宋体" w:eastAsia="宋体" w:cs="宋体"/>
          <w:spacing w:val="4"/>
          <w:sz w:val="20"/>
          <w:szCs w:val="20"/>
        </w:rPr>
        <w:t>5.1.1室内、室外消火栓系统均采用临时高压系统时，可合用供</w:t>
      </w:r>
      <w:r>
        <w:rPr>
          <w:rFonts w:ascii="宋体" w:hAnsi="宋体" w:eastAsia="宋体" w:cs="宋体"/>
          <w:spacing w:val="5"/>
          <w:sz w:val="20"/>
          <w:szCs w:val="20"/>
        </w:rPr>
        <w:t>水系统。</w:t>
      </w:r>
    </w:p>
    <w:p>
      <w:pPr>
        <w:spacing w:before="71" w:line="267" w:lineRule="auto"/>
        <w:ind w:right="3"/>
        <w:rPr>
          <w:rFonts w:ascii="宋体" w:hAnsi="宋体" w:eastAsia="宋体" w:cs="宋体"/>
          <w:sz w:val="20"/>
          <w:szCs w:val="20"/>
        </w:rPr>
      </w:pPr>
      <w:r>
        <w:rPr>
          <w:rFonts w:ascii="宋体" w:hAnsi="宋体" w:eastAsia="宋体" w:cs="宋体"/>
          <w:spacing w:val="11"/>
          <w:sz w:val="20"/>
          <w:szCs w:val="20"/>
        </w:rPr>
        <w:t>5.1.2室外消火栓给水系统采用临时高压系统时，宜采用室外</w:t>
      </w:r>
      <w:r>
        <w:rPr>
          <w:rFonts w:ascii="宋体" w:hAnsi="宋体" w:eastAsia="宋体" w:cs="宋体"/>
          <w:spacing w:val="7"/>
          <w:sz w:val="20"/>
          <w:szCs w:val="20"/>
        </w:rPr>
        <w:t>消火栓稳压设备维持系统的充水和压力。</w:t>
      </w:r>
    </w:p>
    <w:p>
      <w:pPr>
        <w:pStyle w:val="2"/>
        <w:spacing w:line="311" w:lineRule="auto"/>
      </w:pPr>
    </w:p>
    <w:p>
      <w:pPr>
        <w:spacing w:before="65" w:line="222" w:lineRule="auto"/>
        <w:ind w:left="2032"/>
        <w:outlineLvl w:val="1"/>
        <w:rPr>
          <w:rFonts w:ascii="黑体" w:hAnsi="黑体" w:eastAsia="黑体" w:cs="黑体"/>
          <w:sz w:val="20"/>
          <w:szCs w:val="20"/>
        </w:rPr>
      </w:pPr>
      <w:bookmarkStart w:id="23" w:name="bookmark17"/>
      <w:bookmarkEnd w:id="23"/>
      <w:r>
        <w:rPr>
          <w:rFonts w:ascii="宋体" w:hAnsi="宋体" w:eastAsia="宋体" w:cs="宋体"/>
          <w:b/>
          <w:bCs/>
          <w:spacing w:val="4"/>
          <w:sz w:val="20"/>
          <w:szCs w:val="20"/>
        </w:rPr>
        <w:t>5.2</w:t>
      </w:r>
      <w:r>
        <w:rPr>
          <w:rFonts w:ascii="黑体" w:hAnsi="黑体" w:eastAsia="黑体" w:cs="黑体"/>
          <w:b/>
          <w:bCs/>
          <w:spacing w:val="4"/>
          <w:sz w:val="20"/>
          <w:szCs w:val="20"/>
        </w:rPr>
        <w:t>消火栓用水量</w:t>
      </w:r>
    </w:p>
    <w:p>
      <w:pPr>
        <w:pStyle w:val="2"/>
        <w:spacing w:line="305" w:lineRule="auto"/>
      </w:pPr>
    </w:p>
    <w:p>
      <w:pPr>
        <w:spacing w:before="66" w:line="299" w:lineRule="auto"/>
        <w:ind w:firstLine="2"/>
        <w:rPr>
          <w:rFonts w:ascii="宋体" w:hAnsi="宋体" w:eastAsia="宋体" w:cs="宋体"/>
          <w:sz w:val="20"/>
          <w:szCs w:val="20"/>
        </w:rPr>
      </w:pPr>
      <w:r>
        <w:rPr>
          <w:rFonts w:ascii="宋体" w:hAnsi="宋体" w:eastAsia="宋体" w:cs="宋体"/>
          <w:b/>
          <w:bCs/>
          <w:spacing w:val="1"/>
          <w:sz w:val="20"/>
          <w:szCs w:val="20"/>
        </w:rPr>
        <w:t>5.2.1</w:t>
      </w:r>
      <w:r>
        <w:rPr>
          <w:rFonts w:ascii="宋体" w:hAnsi="宋体" w:eastAsia="宋体" w:cs="宋体"/>
          <w:spacing w:val="1"/>
          <w:sz w:val="20"/>
          <w:szCs w:val="20"/>
        </w:rPr>
        <w:t>建筑物一次灭火的室外消火栓设计流量，应符合表5.2.1的</w:t>
      </w:r>
      <w:r>
        <w:rPr>
          <w:rFonts w:ascii="宋体" w:hAnsi="宋体" w:eastAsia="宋体" w:cs="宋体"/>
          <w:spacing w:val="6"/>
          <w:sz w:val="20"/>
          <w:szCs w:val="20"/>
        </w:rPr>
        <w:t>规定。</w:t>
      </w:r>
    </w:p>
    <w:p>
      <w:pPr>
        <w:spacing w:before="59" w:line="221" w:lineRule="auto"/>
        <w:ind w:left="1192"/>
        <w:rPr>
          <w:rFonts w:ascii="宋体" w:hAnsi="宋体" w:eastAsia="宋体" w:cs="宋体"/>
          <w:sz w:val="20"/>
          <w:szCs w:val="20"/>
        </w:rPr>
      </w:pPr>
      <w:r>
        <w:rPr>
          <w:rFonts w:ascii="黑体" w:hAnsi="黑体" w:eastAsia="黑体" w:cs="黑体"/>
          <w:b/>
          <w:bCs/>
          <w:spacing w:val="-14"/>
          <w:sz w:val="20"/>
          <w:szCs w:val="20"/>
        </w:rPr>
        <w:t>表5.2.1建筑物室外消火栓设计流量</w:t>
      </w:r>
      <w:r>
        <w:rPr>
          <w:rFonts w:ascii="宋体" w:hAnsi="宋体" w:eastAsia="宋体" w:cs="宋体"/>
          <w:b/>
          <w:bCs/>
          <w:spacing w:val="-14"/>
          <w:sz w:val="20"/>
          <w:szCs w:val="20"/>
        </w:rPr>
        <w:t>(L/s)</w:t>
      </w:r>
    </w:p>
    <w:p>
      <w:pPr>
        <w:spacing w:line="72" w:lineRule="exact"/>
      </w:pPr>
    </w:p>
    <w:tbl>
      <w:tblPr>
        <w:tblStyle w:val="5"/>
        <w:tblW w:w="583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868"/>
        <w:gridCol w:w="719"/>
        <w:gridCol w:w="759"/>
        <w:gridCol w:w="749"/>
        <w:gridCol w:w="759"/>
        <w:gridCol w:w="759"/>
        <w:gridCol w:w="7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74" w:type="dxa"/>
            <w:vMerge w:val="restart"/>
            <w:tcBorders>
              <w:bottom w:val="nil"/>
            </w:tcBorders>
            <w:vAlign w:val="top"/>
          </w:tcPr>
          <w:p>
            <w:pPr>
              <w:pStyle w:val="6"/>
              <w:spacing w:before="282" w:line="215" w:lineRule="auto"/>
              <w:ind w:left="45"/>
              <w:rPr>
                <w:sz w:val="18"/>
                <w:szCs w:val="18"/>
              </w:rPr>
            </w:pPr>
            <w:r>
              <w:rPr>
                <w:spacing w:val="-3"/>
                <w:sz w:val="18"/>
                <w:szCs w:val="18"/>
              </w:rPr>
              <w:t>耐火</w:t>
            </w:r>
          </w:p>
          <w:p>
            <w:pPr>
              <w:pStyle w:val="6"/>
              <w:spacing w:line="219" w:lineRule="auto"/>
              <w:ind w:left="45"/>
              <w:rPr>
                <w:sz w:val="18"/>
                <w:szCs w:val="18"/>
              </w:rPr>
            </w:pPr>
            <w:r>
              <w:rPr>
                <w:spacing w:val="-3"/>
                <w:sz w:val="18"/>
                <w:szCs w:val="18"/>
              </w:rPr>
              <w:t>等级</w:t>
            </w:r>
          </w:p>
        </w:tc>
        <w:tc>
          <w:tcPr>
            <w:tcW w:w="868" w:type="dxa"/>
            <w:vMerge w:val="restart"/>
            <w:tcBorders>
              <w:bottom w:val="nil"/>
            </w:tcBorders>
            <w:vAlign w:val="top"/>
          </w:tcPr>
          <w:p>
            <w:pPr>
              <w:pStyle w:val="6"/>
              <w:spacing w:before="282" w:line="217" w:lineRule="auto"/>
              <w:ind w:left="241" w:right="176" w:hanging="90"/>
              <w:rPr>
                <w:sz w:val="18"/>
                <w:szCs w:val="18"/>
              </w:rPr>
            </w:pPr>
            <w:r>
              <w:rPr>
                <w:spacing w:val="-4"/>
                <w:sz w:val="18"/>
                <w:szCs w:val="18"/>
              </w:rPr>
              <w:t>建筑物</w:t>
            </w:r>
            <w:r>
              <w:rPr>
                <w:spacing w:val="7"/>
                <w:sz w:val="18"/>
                <w:szCs w:val="18"/>
              </w:rPr>
              <w:t>类别</w:t>
            </w:r>
          </w:p>
        </w:tc>
        <w:tc>
          <w:tcPr>
            <w:tcW w:w="4488" w:type="dxa"/>
            <w:gridSpan w:val="6"/>
            <w:vAlign w:val="top"/>
          </w:tcPr>
          <w:p>
            <w:pPr>
              <w:pStyle w:val="6"/>
              <w:spacing w:before="73" w:line="220" w:lineRule="auto"/>
              <w:ind w:left="1563"/>
              <w:rPr>
                <w:sz w:val="18"/>
                <w:szCs w:val="18"/>
              </w:rPr>
            </w:pPr>
            <w:r>
              <w:rPr>
                <w:spacing w:val="14"/>
                <w:sz w:val="18"/>
                <w:szCs w:val="18"/>
              </w:rPr>
              <w:t>建筑物体积(m³)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474" w:type="dxa"/>
            <w:vMerge w:val="continue"/>
            <w:tcBorders>
              <w:top w:val="nil"/>
            </w:tcBorders>
            <w:vAlign w:val="top"/>
          </w:tcPr>
          <w:p>
            <w:pPr>
              <w:rPr>
                <w:rFonts w:ascii="Arial"/>
                <w:sz w:val="21"/>
              </w:rPr>
            </w:pPr>
          </w:p>
        </w:tc>
        <w:tc>
          <w:tcPr>
            <w:tcW w:w="868" w:type="dxa"/>
            <w:vMerge w:val="continue"/>
            <w:tcBorders>
              <w:top w:val="nil"/>
            </w:tcBorders>
            <w:vAlign w:val="top"/>
          </w:tcPr>
          <w:p>
            <w:pPr>
              <w:rPr>
                <w:rFonts w:ascii="Arial"/>
                <w:sz w:val="21"/>
              </w:rPr>
            </w:pPr>
          </w:p>
        </w:tc>
        <w:tc>
          <w:tcPr>
            <w:tcW w:w="719" w:type="dxa"/>
            <w:vAlign w:val="top"/>
          </w:tcPr>
          <w:p>
            <w:pPr>
              <w:pStyle w:val="6"/>
              <w:spacing w:before="234" w:line="236" w:lineRule="auto"/>
              <w:ind w:left="12"/>
              <w:rPr>
                <w:sz w:val="18"/>
                <w:szCs w:val="18"/>
              </w:rPr>
            </w:pPr>
            <w:r>
              <w:rPr>
                <w:spacing w:val="-1"/>
                <w:sz w:val="18"/>
                <w:szCs w:val="18"/>
              </w:rPr>
              <w:t>V≤1500</w:t>
            </w:r>
          </w:p>
        </w:tc>
        <w:tc>
          <w:tcPr>
            <w:tcW w:w="759" w:type="dxa"/>
            <w:vAlign w:val="top"/>
          </w:tcPr>
          <w:p>
            <w:pPr>
              <w:pStyle w:val="6"/>
              <w:spacing w:before="155" w:line="232" w:lineRule="auto"/>
              <w:ind w:left="104" w:right="124"/>
              <w:rPr>
                <w:sz w:val="18"/>
                <w:szCs w:val="18"/>
              </w:rPr>
            </w:pPr>
            <w:r>
              <w:rPr>
                <w:spacing w:val="-4"/>
                <w:sz w:val="18"/>
                <w:szCs w:val="18"/>
              </w:rPr>
              <w:t>1500&lt;V≤3000</w:t>
            </w:r>
          </w:p>
        </w:tc>
        <w:tc>
          <w:tcPr>
            <w:tcW w:w="749" w:type="dxa"/>
            <w:vAlign w:val="top"/>
          </w:tcPr>
          <w:p>
            <w:pPr>
              <w:pStyle w:val="6"/>
              <w:spacing w:before="146" w:line="234" w:lineRule="auto"/>
              <w:ind w:left="95" w:right="114"/>
              <w:rPr>
                <w:sz w:val="18"/>
                <w:szCs w:val="18"/>
              </w:rPr>
            </w:pPr>
            <w:r>
              <w:rPr>
                <w:spacing w:val="-2"/>
                <w:sz w:val="18"/>
                <w:szCs w:val="18"/>
              </w:rPr>
              <w:t>3000&lt;V</w:t>
            </w:r>
            <w:r>
              <w:rPr>
                <w:spacing w:val="-4"/>
                <w:sz w:val="18"/>
                <w:szCs w:val="18"/>
              </w:rPr>
              <w:t>≤5000</w:t>
            </w:r>
          </w:p>
        </w:tc>
        <w:tc>
          <w:tcPr>
            <w:tcW w:w="759" w:type="dxa"/>
            <w:vAlign w:val="top"/>
          </w:tcPr>
          <w:p>
            <w:pPr>
              <w:pStyle w:val="6"/>
              <w:spacing w:before="156" w:line="203" w:lineRule="auto"/>
              <w:ind w:left="106"/>
              <w:rPr>
                <w:sz w:val="18"/>
                <w:szCs w:val="18"/>
              </w:rPr>
            </w:pPr>
            <w:r>
              <w:rPr>
                <w:spacing w:val="-2"/>
                <w:sz w:val="18"/>
                <w:szCs w:val="18"/>
              </w:rPr>
              <w:t>5000&lt;V</w:t>
            </w:r>
          </w:p>
          <w:p>
            <w:pPr>
              <w:pStyle w:val="6"/>
              <w:spacing w:line="235" w:lineRule="auto"/>
              <w:ind w:left="56"/>
              <w:rPr>
                <w:sz w:val="18"/>
                <w:szCs w:val="18"/>
              </w:rPr>
            </w:pPr>
            <w:r>
              <w:rPr>
                <w:spacing w:val="-3"/>
                <w:sz w:val="18"/>
                <w:szCs w:val="18"/>
              </w:rPr>
              <w:t>≤20000</w:t>
            </w:r>
          </w:p>
        </w:tc>
        <w:tc>
          <w:tcPr>
            <w:tcW w:w="759" w:type="dxa"/>
            <w:vAlign w:val="top"/>
          </w:tcPr>
          <w:p>
            <w:pPr>
              <w:pStyle w:val="6"/>
              <w:spacing w:before="167" w:line="214" w:lineRule="auto"/>
              <w:ind w:left="56" w:right="71"/>
              <w:rPr>
                <w:sz w:val="18"/>
                <w:szCs w:val="18"/>
              </w:rPr>
            </w:pPr>
            <w:r>
              <w:rPr>
                <w:spacing w:val="-2"/>
                <w:sz w:val="18"/>
                <w:szCs w:val="18"/>
              </w:rPr>
              <w:t>20000&lt;V</w:t>
            </w:r>
            <w:r>
              <w:rPr>
                <w:spacing w:val="-3"/>
                <w:sz w:val="18"/>
                <w:szCs w:val="18"/>
              </w:rPr>
              <w:t>≤50000</w:t>
            </w:r>
          </w:p>
        </w:tc>
        <w:tc>
          <w:tcPr>
            <w:tcW w:w="743" w:type="dxa"/>
            <w:vAlign w:val="top"/>
          </w:tcPr>
          <w:p>
            <w:pPr>
              <w:pStyle w:val="6"/>
              <w:spacing w:before="235"/>
              <w:ind w:left="47"/>
              <w:rPr>
                <w:sz w:val="18"/>
                <w:szCs w:val="18"/>
              </w:rPr>
            </w:pPr>
            <w:r>
              <w:rPr>
                <w:spacing w:val="-1"/>
                <w:sz w:val="18"/>
                <w:szCs w:val="18"/>
              </w:rPr>
              <w:t>V&gt;50000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474" w:type="dxa"/>
            <w:vMerge w:val="restart"/>
            <w:tcBorders>
              <w:bottom w:val="nil"/>
            </w:tcBorders>
            <w:vAlign w:val="top"/>
          </w:tcPr>
          <w:p>
            <w:pPr>
              <w:spacing w:line="402" w:lineRule="auto"/>
              <w:rPr>
                <w:rFonts w:ascii="Arial"/>
                <w:sz w:val="21"/>
              </w:rPr>
            </w:pPr>
          </w:p>
          <w:p>
            <w:pPr>
              <w:pStyle w:val="6"/>
              <w:spacing w:before="58" w:line="48" w:lineRule="exact"/>
              <w:ind w:left="45"/>
              <w:rPr>
                <w:sz w:val="18"/>
                <w:szCs w:val="18"/>
              </w:rPr>
            </w:pPr>
            <w:r>
              <w:rPr>
                <w:position w:val="-6"/>
                <w:sz w:val="18"/>
                <w:szCs w:val="18"/>
              </w:rPr>
              <w:t>一</w:t>
            </w:r>
          </w:p>
          <w:p>
            <w:pPr>
              <w:pStyle w:val="6"/>
              <w:spacing w:line="61" w:lineRule="exact"/>
              <w:jc w:val="right"/>
              <w:rPr>
                <w:sz w:val="18"/>
                <w:szCs w:val="18"/>
              </w:rPr>
            </w:pPr>
            <w:r>
              <w:rPr>
                <w:spacing w:val="-28"/>
                <w:w w:val="72"/>
                <w:sz w:val="18"/>
                <w:szCs w:val="18"/>
              </w:rPr>
              <w:t>、</w:t>
            </w:r>
          </w:p>
          <w:p>
            <w:pPr>
              <w:pStyle w:val="6"/>
              <w:spacing w:line="221" w:lineRule="auto"/>
              <w:ind w:left="45"/>
              <w:rPr>
                <w:sz w:val="18"/>
                <w:szCs w:val="18"/>
              </w:rPr>
            </w:pPr>
            <w:r>
              <w:rPr>
                <w:spacing w:val="5"/>
                <w:sz w:val="18"/>
                <w:szCs w:val="18"/>
              </w:rPr>
              <w:t>二级</w:t>
            </w:r>
          </w:p>
        </w:tc>
        <w:tc>
          <w:tcPr>
            <w:tcW w:w="868" w:type="dxa"/>
            <w:vAlign w:val="top"/>
          </w:tcPr>
          <w:p>
            <w:pPr>
              <w:pStyle w:val="6"/>
              <w:spacing w:before="29" w:line="215" w:lineRule="auto"/>
              <w:ind w:left="240" w:hanging="229"/>
              <w:rPr>
                <w:sz w:val="18"/>
                <w:szCs w:val="18"/>
              </w:rPr>
            </w:pPr>
            <w:r>
              <w:rPr>
                <w:spacing w:val="-11"/>
                <w:sz w:val="18"/>
                <w:szCs w:val="18"/>
              </w:rPr>
              <w:t>单层及多层</w:t>
            </w:r>
            <w:r>
              <w:rPr>
                <w:spacing w:val="-3"/>
                <w:sz w:val="18"/>
                <w:szCs w:val="18"/>
              </w:rPr>
              <w:t>建筑</w:t>
            </w:r>
          </w:p>
        </w:tc>
        <w:tc>
          <w:tcPr>
            <w:tcW w:w="2227" w:type="dxa"/>
            <w:gridSpan w:val="3"/>
            <w:vAlign w:val="top"/>
          </w:tcPr>
          <w:p>
            <w:pPr>
              <w:pStyle w:val="6"/>
              <w:spacing w:before="158"/>
              <w:ind w:left="1012"/>
              <w:rPr>
                <w:sz w:val="18"/>
                <w:szCs w:val="18"/>
              </w:rPr>
            </w:pPr>
            <w:r>
              <w:rPr>
                <w:spacing w:val="-6"/>
                <w:sz w:val="18"/>
                <w:szCs w:val="18"/>
              </w:rPr>
              <w:t>15</w:t>
            </w:r>
          </w:p>
        </w:tc>
        <w:tc>
          <w:tcPr>
            <w:tcW w:w="759" w:type="dxa"/>
            <w:vAlign w:val="top"/>
          </w:tcPr>
          <w:p>
            <w:pPr>
              <w:pStyle w:val="6"/>
              <w:spacing w:before="158"/>
              <w:ind w:left="285"/>
              <w:rPr>
                <w:sz w:val="18"/>
                <w:szCs w:val="18"/>
              </w:rPr>
            </w:pPr>
            <w:r>
              <w:rPr>
                <w:spacing w:val="-3"/>
                <w:sz w:val="18"/>
                <w:szCs w:val="18"/>
              </w:rPr>
              <w:t>25</w:t>
            </w:r>
          </w:p>
        </w:tc>
        <w:tc>
          <w:tcPr>
            <w:tcW w:w="759" w:type="dxa"/>
            <w:vAlign w:val="top"/>
          </w:tcPr>
          <w:p>
            <w:pPr>
              <w:pStyle w:val="6"/>
              <w:spacing w:before="158"/>
              <w:ind w:left="286"/>
              <w:rPr>
                <w:sz w:val="18"/>
                <w:szCs w:val="18"/>
              </w:rPr>
            </w:pPr>
            <w:r>
              <w:rPr>
                <w:spacing w:val="-3"/>
                <w:sz w:val="18"/>
                <w:szCs w:val="18"/>
              </w:rPr>
              <w:t>30</w:t>
            </w:r>
          </w:p>
        </w:tc>
        <w:tc>
          <w:tcPr>
            <w:tcW w:w="743" w:type="dxa"/>
            <w:vAlign w:val="top"/>
          </w:tcPr>
          <w:p>
            <w:pPr>
              <w:pStyle w:val="6"/>
              <w:spacing w:before="158"/>
              <w:ind w:left="277"/>
              <w:rPr>
                <w:sz w:val="18"/>
                <w:szCs w:val="18"/>
              </w:rPr>
            </w:pPr>
            <w:r>
              <w:rPr>
                <w:spacing w:val="-2"/>
                <w:sz w:val="18"/>
                <w:szCs w:val="18"/>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bottom w:val="nil"/>
            </w:tcBorders>
            <w:vAlign w:val="top"/>
          </w:tcPr>
          <w:p>
            <w:pPr>
              <w:rPr>
                <w:rFonts w:ascii="Arial"/>
                <w:sz w:val="21"/>
              </w:rPr>
            </w:pPr>
          </w:p>
        </w:tc>
        <w:tc>
          <w:tcPr>
            <w:tcW w:w="868" w:type="dxa"/>
            <w:vAlign w:val="top"/>
          </w:tcPr>
          <w:p>
            <w:pPr>
              <w:pStyle w:val="6"/>
              <w:spacing w:before="71" w:line="219" w:lineRule="auto"/>
              <w:ind w:left="61"/>
              <w:rPr>
                <w:sz w:val="18"/>
                <w:szCs w:val="18"/>
              </w:rPr>
            </w:pPr>
            <w:r>
              <w:rPr>
                <w:spacing w:val="-3"/>
                <w:sz w:val="18"/>
                <w:szCs w:val="18"/>
              </w:rPr>
              <w:t>高层建筑</w:t>
            </w:r>
          </w:p>
        </w:tc>
        <w:tc>
          <w:tcPr>
            <w:tcW w:w="2227" w:type="dxa"/>
            <w:gridSpan w:val="3"/>
            <w:vAlign w:val="top"/>
          </w:tcPr>
          <w:p>
            <w:pPr>
              <w:pStyle w:val="6"/>
              <w:spacing w:before="155" w:line="46" w:lineRule="exact"/>
              <w:ind w:left="1072"/>
              <w:rPr>
                <w:sz w:val="6"/>
                <w:szCs w:val="6"/>
              </w:rPr>
            </w:pPr>
            <w:r>
              <w:rPr>
                <w:position w:val="-1"/>
                <w:sz w:val="6"/>
                <w:szCs w:val="6"/>
              </w:rPr>
              <w:t>一</w:t>
            </w:r>
          </w:p>
        </w:tc>
        <w:tc>
          <w:tcPr>
            <w:tcW w:w="759" w:type="dxa"/>
            <w:vAlign w:val="top"/>
          </w:tcPr>
          <w:p>
            <w:pPr>
              <w:pStyle w:val="6"/>
              <w:spacing w:before="89" w:line="215" w:lineRule="auto"/>
              <w:ind w:left="285"/>
              <w:rPr>
                <w:sz w:val="18"/>
                <w:szCs w:val="18"/>
              </w:rPr>
            </w:pPr>
            <w:r>
              <w:rPr>
                <w:spacing w:val="-3"/>
                <w:sz w:val="18"/>
                <w:szCs w:val="18"/>
              </w:rPr>
              <w:t>25</w:t>
            </w:r>
          </w:p>
        </w:tc>
        <w:tc>
          <w:tcPr>
            <w:tcW w:w="759" w:type="dxa"/>
            <w:vAlign w:val="top"/>
          </w:tcPr>
          <w:p>
            <w:pPr>
              <w:pStyle w:val="6"/>
              <w:spacing w:before="89" w:line="215" w:lineRule="auto"/>
              <w:ind w:left="286"/>
              <w:rPr>
                <w:sz w:val="18"/>
                <w:szCs w:val="18"/>
              </w:rPr>
            </w:pPr>
            <w:r>
              <w:rPr>
                <w:spacing w:val="-3"/>
                <w:sz w:val="18"/>
                <w:szCs w:val="18"/>
              </w:rPr>
              <w:t>30</w:t>
            </w:r>
          </w:p>
        </w:tc>
        <w:tc>
          <w:tcPr>
            <w:tcW w:w="743" w:type="dxa"/>
            <w:vAlign w:val="top"/>
          </w:tcPr>
          <w:p>
            <w:pPr>
              <w:pStyle w:val="6"/>
              <w:spacing w:before="89" w:line="215" w:lineRule="auto"/>
              <w:ind w:left="277"/>
              <w:rPr>
                <w:sz w:val="18"/>
                <w:szCs w:val="18"/>
              </w:rPr>
            </w:pPr>
            <w:r>
              <w:rPr>
                <w:spacing w:val="-2"/>
                <w:sz w:val="18"/>
                <w:szCs w:val="18"/>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tcBorders>
            <w:vAlign w:val="top"/>
          </w:tcPr>
          <w:p>
            <w:pPr>
              <w:rPr>
                <w:rFonts w:ascii="Arial"/>
                <w:sz w:val="21"/>
              </w:rPr>
            </w:pPr>
          </w:p>
        </w:tc>
        <w:tc>
          <w:tcPr>
            <w:tcW w:w="868" w:type="dxa"/>
            <w:vAlign w:val="top"/>
          </w:tcPr>
          <w:p>
            <w:pPr>
              <w:pStyle w:val="6"/>
              <w:spacing w:before="73" w:line="221" w:lineRule="auto"/>
              <w:ind w:left="241"/>
              <w:rPr>
                <w:sz w:val="18"/>
                <w:szCs w:val="18"/>
              </w:rPr>
            </w:pPr>
            <w:r>
              <w:rPr>
                <w:spacing w:val="-2"/>
                <w:sz w:val="18"/>
                <w:szCs w:val="18"/>
              </w:rPr>
              <w:t>住宅</w:t>
            </w:r>
          </w:p>
        </w:tc>
        <w:tc>
          <w:tcPr>
            <w:tcW w:w="4488" w:type="dxa"/>
            <w:gridSpan w:val="6"/>
            <w:vAlign w:val="top"/>
          </w:tcPr>
          <w:p>
            <w:pPr>
              <w:pStyle w:val="6"/>
              <w:spacing w:before="90" w:line="214" w:lineRule="auto"/>
              <w:ind w:left="2143"/>
              <w:rPr>
                <w:sz w:val="18"/>
                <w:szCs w:val="18"/>
              </w:rPr>
            </w:pPr>
            <w:r>
              <w:rPr>
                <w:spacing w:val="-6"/>
                <w:sz w:val="18"/>
                <w:szCs w:val="18"/>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474" w:type="dxa"/>
            <w:vAlign w:val="top"/>
          </w:tcPr>
          <w:p>
            <w:pPr>
              <w:pStyle w:val="6"/>
              <w:spacing w:before="65" w:line="221" w:lineRule="auto"/>
              <w:ind w:left="45"/>
              <w:rPr>
                <w:sz w:val="18"/>
                <w:szCs w:val="18"/>
              </w:rPr>
            </w:pPr>
            <w:r>
              <w:rPr>
                <w:spacing w:val="-2"/>
                <w:sz w:val="18"/>
                <w:szCs w:val="18"/>
              </w:rPr>
              <w:t>三级</w:t>
            </w:r>
          </w:p>
        </w:tc>
        <w:tc>
          <w:tcPr>
            <w:tcW w:w="868" w:type="dxa"/>
            <w:vAlign w:val="top"/>
          </w:tcPr>
          <w:p>
            <w:pPr>
              <w:pStyle w:val="6"/>
              <w:spacing w:before="63" w:line="219" w:lineRule="auto"/>
              <w:ind w:left="61"/>
              <w:rPr>
                <w:sz w:val="18"/>
                <w:szCs w:val="18"/>
              </w:rPr>
            </w:pPr>
            <w:r>
              <w:rPr>
                <w:spacing w:val="-3"/>
                <w:sz w:val="18"/>
                <w:szCs w:val="18"/>
              </w:rPr>
              <w:t>公共建筑</w:t>
            </w:r>
          </w:p>
        </w:tc>
        <w:tc>
          <w:tcPr>
            <w:tcW w:w="1478" w:type="dxa"/>
            <w:gridSpan w:val="2"/>
            <w:vAlign w:val="top"/>
          </w:tcPr>
          <w:p>
            <w:pPr>
              <w:pStyle w:val="6"/>
              <w:spacing w:before="81" w:line="213" w:lineRule="auto"/>
              <w:ind w:left="643"/>
              <w:rPr>
                <w:sz w:val="18"/>
                <w:szCs w:val="18"/>
              </w:rPr>
            </w:pPr>
            <w:r>
              <w:rPr>
                <w:spacing w:val="-6"/>
                <w:sz w:val="18"/>
                <w:szCs w:val="18"/>
              </w:rPr>
              <w:t>15</w:t>
            </w:r>
          </w:p>
        </w:tc>
        <w:tc>
          <w:tcPr>
            <w:tcW w:w="749" w:type="dxa"/>
            <w:vAlign w:val="top"/>
          </w:tcPr>
          <w:p>
            <w:pPr>
              <w:pStyle w:val="6"/>
              <w:spacing w:before="81" w:line="213" w:lineRule="auto"/>
              <w:ind w:left="275"/>
              <w:rPr>
                <w:sz w:val="18"/>
                <w:szCs w:val="18"/>
              </w:rPr>
            </w:pPr>
            <w:r>
              <w:rPr>
                <w:spacing w:val="-3"/>
                <w:sz w:val="18"/>
                <w:szCs w:val="18"/>
              </w:rPr>
              <w:t>20</w:t>
            </w:r>
          </w:p>
        </w:tc>
        <w:tc>
          <w:tcPr>
            <w:tcW w:w="759" w:type="dxa"/>
            <w:vAlign w:val="top"/>
          </w:tcPr>
          <w:p>
            <w:pPr>
              <w:pStyle w:val="6"/>
              <w:spacing w:before="81" w:line="213" w:lineRule="auto"/>
              <w:ind w:left="285"/>
              <w:rPr>
                <w:sz w:val="18"/>
                <w:szCs w:val="18"/>
              </w:rPr>
            </w:pPr>
            <w:r>
              <w:rPr>
                <w:spacing w:val="-3"/>
                <w:sz w:val="18"/>
                <w:szCs w:val="18"/>
              </w:rPr>
              <w:t>25</w:t>
            </w:r>
          </w:p>
        </w:tc>
        <w:tc>
          <w:tcPr>
            <w:tcW w:w="759" w:type="dxa"/>
            <w:vAlign w:val="top"/>
          </w:tcPr>
          <w:p>
            <w:pPr>
              <w:pStyle w:val="6"/>
              <w:spacing w:before="81" w:line="213" w:lineRule="auto"/>
              <w:ind w:left="286"/>
              <w:rPr>
                <w:sz w:val="18"/>
                <w:szCs w:val="18"/>
              </w:rPr>
            </w:pPr>
            <w:r>
              <w:rPr>
                <w:spacing w:val="-3"/>
                <w:sz w:val="18"/>
                <w:szCs w:val="18"/>
              </w:rPr>
              <w:t>30</w:t>
            </w:r>
          </w:p>
        </w:tc>
        <w:tc>
          <w:tcPr>
            <w:tcW w:w="743" w:type="dxa"/>
            <w:vAlign w:val="top"/>
          </w:tcPr>
          <w:p>
            <w:pPr>
              <w:pStyle w:val="6"/>
              <w:spacing w:before="148" w:line="140" w:lineRule="exact"/>
              <w:ind w:left="277"/>
              <w:rPr>
                <w:sz w:val="18"/>
                <w:szCs w:val="18"/>
              </w:rPr>
            </w:pPr>
            <w:r>
              <w:rPr>
                <w:position w:val="-4"/>
                <w:sz w:val="18"/>
                <w:szCs w:val="18"/>
              </w:rPr>
              <w:t>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Align w:val="top"/>
          </w:tcPr>
          <w:p>
            <w:pPr>
              <w:pStyle w:val="6"/>
              <w:spacing w:before="76" w:line="221" w:lineRule="auto"/>
              <w:ind w:left="45"/>
              <w:rPr>
                <w:sz w:val="18"/>
                <w:szCs w:val="18"/>
              </w:rPr>
            </w:pPr>
            <w:r>
              <w:rPr>
                <w:spacing w:val="5"/>
                <w:sz w:val="18"/>
                <w:szCs w:val="18"/>
              </w:rPr>
              <w:t>四级</w:t>
            </w:r>
          </w:p>
        </w:tc>
        <w:tc>
          <w:tcPr>
            <w:tcW w:w="868" w:type="dxa"/>
            <w:vAlign w:val="top"/>
          </w:tcPr>
          <w:p>
            <w:pPr>
              <w:pStyle w:val="6"/>
              <w:spacing w:before="74" w:line="219" w:lineRule="auto"/>
              <w:ind w:left="61"/>
              <w:rPr>
                <w:sz w:val="18"/>
                <w:szCs w:val="18"/>
              </w:rPr>
            </w:pPr>
            <w:r>
              <w:rPr>
                <w:spacing w:val="-3"/>
                <w:sz w:val="18"/>
                <w:szCs w:val="18"/>
              </w:rPr>
              <w:t>公共建筑</w:t>
            </w:r>
          </w:p>
        </w:tc>
        <w:tc>
          <w:tcPr>
            <w:tcW w:w="1478" w:type="dxa"/>
            <w:gridSpan w:val="2"/>
            <w:vAlign w:val="top"/>
          </w:tcPr>
          <w:p>
            <w:pPr>
              <w:pStyle w:val="6"/>
              <w:spacing w:before="92" w:line="212" w:lineRule="auto"/>
              <w:ind w:left="643"/>
              <w:rPr>
                <w:sz w:val="18"/>
                <w:szCs w:val="18"/>
              </w:rPr>
            </w:pPr>
            <w:r>
              <w:rPr>
                <w:spacing w:val="-6"/>
                <w:sz w:val="18"/>
                <w:szCs w:val="18"/>
              </w:rPr>
              <w:t>15</w:t>
            </w:r>
          </w:p>
        </w:tc>
        <w:tc>
          <w:tcPr>
            <w:tcW w:w="749" w:type="dxa"/>
            <w:vAlign w:val="top"/>
          </w:tcPr>
          <w:p>
            <w:pPr>
              <w:pStyle w:val="6"/>
              <w:spacing w:before="92" w:line="212" w:lineRule="auto"/>
              <w:ind w:left="275"/>
              <w:rPr>
                <w:sz w:val="18"/>
                <w:szCs w:val="18"/>
              </w:rPr>
            </w:pPr>
            <w:r>
              <w:rPr>
                <w:spacing w:val="-3"/>
                <w:sz w:val="18"/>
                <w:szCs w:val="18"/>
              </w:rPr>
              <w:t>20</w:t>
            </w:r>
          </w:p>
        </w:tc>
        <w:tc>
          <w:tcPr>
            <w:tcW w:w="759" w:type="dxa"/>
            <w:vAlign w:val="top"/>
          </w:tcPr>
          <w:p>
            <w:pPr>
              <w:pStyle w:val="6"/>
              <w:spacing w:before="92" w:line="212" w:lineRule="auto"/>
              <w:ind w:left="285"/>
              <w:rPr>
                <w:sz w:val="18"/>
                <w:szCs w:val="18"/>
              </w:rPr>
            </w:pPr>
            <w:r>
              <w:rPr>
                <w:spacing w:val="-3"/>
                <w:sz w:val="18"/>
                <w:szCs w:val="18"/>
              </w:rPr>
              <w:t>25</w:t>
            </w:r>
          </w:p>
        </w:tc>
        <w:tc>
          <w:tcPr>
            <w:tcW w:w="1502" w:type="dxa"/>
            <w:gridSpan w:val="2"/>
            <w:vAlign w:val="top"/>
          </w:tcPr>
          <w:p>
            <w:pPr>
              <w:pStyle w:val="6"/>
              <w:spacing w:before="158" w:line="46" w:lineRule="exact"/>
              <w:ind w:left="647"/>
              <w:rPr>
                <w:sz w:val="6"/>
                <w:szCs w:val="6"/>
              </w:rPr>
            </w:pPr>
            <w:r>
              <w:rPr>
                <w:position w:val="-1"/>
                <w:sz w:val="6"/>
                <w:szCs w:val="6"/>
              </w:rPr>
              <w:t>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74" w:type="dxa"/>
            <w:vAlign w:val="top"/>
          </w:tcPr>
          <w:p>
            <w:pPr>
              <w:spacing w:line="347" w:lineRule="auto"/>
              <w:rPr>
                <w:rFonts w:ascii="Arial"/>
                <w:sz w:val="21"/>
              </w:rPr>
            </w:pPr>
          </w:p>
          <w:p>
            <w:pPr>
              <w:pStyle w:val="6"/>
              <w:spacing w:before="59" w:line="47" w:lineRule="exact"/>
              <w:ind w:left="45"/>
              <w:rPr>
                <w:sz w:val="18"/>
                <w:szCs w:val="18"/>
              </w:rPr>
            </w:pPr>
            <w:r>
              <w:rPr>
                <w:position w:val="-6"/>
                <w:sz w:val="18"/>
                <w:szCs w:val="18"/>
              </w:rPr>
              <w:t>一</w:t>
            </w:r>
          </w:p>
          <w:p>
            <w:pPr>
              <w:pStyle w:val="6"/>
              <w:spacing w:line="61" w:lineRule="exact"/>
              <w:jc w:val="right"/>
              <w:rPr>
                <w:sz w:val="18"/>
                <w:szCs w:val="18"/>
              </w:rPr>
            </w:pPr>
            <w:r>
              <w:rPr>
                <w:spacing w:val="-28"/>
                <w:w w:val="72"/>
                <w:sz w:val="18"/>
                <w:szCs w:val="18"/>
              </w:rPr>
              <w:t>、</w:t>
            </w:r>
          </w:p>
          <w:p>
            <w:pPr>
              <w:pStyle w:val="6"/>
              <w:spacing w:line="221" w:lineRule="auto"/>
              <w:ind w:left="45"/>
              <w:rPr>
                <w:sz w:val="18"/>
                <w:szCs w:val="18"/>
              </w:rPr>
            </w:pPr>
            <w:r>
              <w:rPr>
                <w:spacing w:val="5"/>
                <w:sz w:val="18"/>
                <w:szCs w:val="18"/>
              </w:rPr>
              <w:t>二级</w:t>
            </w:r>
          </w:p>
        </w:tc>
        <w:tc>
          <w:tcPr>
            <w:tcW w:w="868" w:type="dxa"/>
            <w:vAlign w:val="top"/>
          </w:tcPr>
          <w:p>
            <w:pPr>
              <w:pStyle w:val="6"/>
              <w:spacing w:before="57" w:line="222" w:lineRule="auto"/>
              <w:ind w:left="47" w:hanging="36"/>
              <w:jc w:val="both"/>
              <w:rPr>
                <w:sz w:val="18"/>
                <w:szCs w:val="18"/>
              </w:rPr>
            </w:pPr>
            <w:r>
              <w:rPr>
                <w:spacing w:val="-11"/>
                <w:sz w:val="18"/>
                <w:szCs w:val="18"/>
              </w:rPr>
              <w:t>地下建筑、</w:t>
            </w:r>
            <w:r>
              <w:rPr>
                <w:spacing w:val="-16"/>
                <w:sz w:val="18"/>
                <w:szCs w:val="18"/>
              </w:rPr>
              <w:t>平战结合</w:t>
            </w:r>
            <w:r>
              <w:rPr>
                <w:spacing w:val="-12"/>
                <w:sz w:val="18"/>
                <w:szCs w:val="18"/>
              </w:rPr>
              <w:t>的人防工</w:t>
            </w:r>
            <w:r>
              <w:rPr>
                <w:sz w:val="18"/>
                <w:szCs w:val="18"/>
              </w:rPr>
              <w:t>程</w:t>
            </w:r>
          </w:p>
        </w:tc>
        <w:tc>
          <w:tcPr>
            <w:tcW w:w="2227" w:type="dxa"/>
            <w:gridSpan w:val="3"/>
            <w:vAlign w:val="top"/>
          </w:tcPr>
          <w:p>
            <w:pPr>
              <w:spacing w:line="342" w:lineRule="auto"/>
              <w:rPr>
                <w:rFonts w:ascii="Arial"/>
                <w:sz w:val="21"/>
              </w:rPr>
            </w:pPr>
          </w:p>
          <w:p>
            <w:pPr>
              <w:pStyle w:val="6"/>
              <w:spacing w:before="58"/>
              <w:ind w:left="1012"/>
              <w:rPr>
                <w:sz w:val="18"/>
                <w:szCs w:val="18"/>
              </w:rPr>
            </w:pPr>
            <w:r>
              <w:rPr>
                <w:spacing w:val="-6"/>
                <w:sz w:val="18"/>
                <w:szCs w:val="18"/>
              </w:rPr>
              <w:t>15</w:t>
            </w:r>
          </w:p>
        </w:tc>
        <w:tc>
          <w:tcPr>
            <w:tcW w:w="759" w:type="dxa"/>
            <w:vAlign w:val="top"/>
          </w:tcPr>
          <w:p>
            <w:pPr>
              <w:spacing w:line="342" w:lineRule="auto"/>
              <w:rPr>
                <w:rFonts w:ascii="Arial"/>
                <w:sz w:val="21"/>
              </w:rPr>
            </w:pPr>
          </w:p>
          <w:p>
            <w:pPr>
              <w:pStyle w:val="6"/>
              <w:spacing w:before="58"/>
              <w:ind w:left="285"/>
              <w:rPr>
                <w:sz w:val="18"/>
                <w:szCs w:val="18"/>
              </w:rPr>
            </w:pPr>
            <w:r>
              <w:rPr>
                <w:spacing w:val="-3"/>
                <w:sz w:val="18"/>
                <w:szCs w:val="18"/>
              </w:rPr>
              <w:t>20</w:t>
            </w:r>
          </w:p>
        </w:tc>
        <w:tc>
          <w:tcPr>
            <w:tcW w:w="759" w:type="dxa"/>
            <w:vAlign w:val="top"/>
          </w:tcPr>
          <w:p>
            <w:pPr>
              <w:spacing w:line="342" w:lineRule="auto"/>
              <w:rPr>
                <w:rFonts w:ascii="Arial"/>
                <w:sz w:val="21"/>
              </w:rPr>
            </w:pPr>
          </w:p>
          <w:p>
            <w:pPr>
              <w:pStyle w:val="6"/>
              <w:spacing w:before="58"/>
              <w:ind w:left="286"/>
              <w:rPr>
                <w:sz w:val="18"/>
                <w:szCs w:val="18"/>
              </w:rPr>
            </w:pPr>
            <w:r>
              <w:rPr>
                <w:spacing w:val="-3"/>
                <w:sz w:val="18"/>
                <w:szCs w:val="18"/>
              </w:rPr>
              <w:t>25</w:t>
            </w:r>
          </w:p>
        </w:tc>
        <w:tc>
          <w:tcPr>
            <w:tcW w:w="743" w:type="dxa"/>
            <w:vAlign w:val="top"/>
          </w:tcPr>
          <w:p>
            <w:pPr>
              <w:spacing w:line="342" w:lineRule="auto"/>
              <w:rPr>
                <w:rFonts w:ascii="Arial"/>
                <w:sz w:val="21"/>
              </w:rPr>
            </w:pPr>
          </w:p>
          <w:p>
            <w:pPr>
              <w:pStyle w:val="6"/>
              <w:spacing w:before="58"/>
              <w:ind w:left="277"/>
              <w:rPr>
                <w:sz w:val="18"/>
                <w:szCs w:val="18"/>
              </w:rPr>
            </w:pPr>
            <w:r>
              <w:rPr>
                <w:spacing w:val="-3"/>
                <w:sz w:val="18"/>
                <w:szCs w:val="18"/>
              </w:rPr>
              <w:t>30</w:t>
            </w:r>
          </w:p>
        </w:tc>
      </w:tr>
    </w:tbl>
    <w:p>
      <w:pPr>
        <w:pStyle w:val="2"/>
        <w:spacing w:line="103" w:lineRule="exact"/>
        <w:rPr>
          <w:sz w:val="8"/>
        </w:rPr>
      </w:pPr>
    </w:p>
    <w:p>
      <w:pPr>
        <w:spacing w:line="103" w:lineRule="exact"/>
        <w:rPr>
          <w:sz w:val="8"/>
          <w:szCs w:val="8"/>
        </w:rPr>
        <w:sectPr>
          <w:footerReference r:id="rId31" w:type="default"/>
          <w:pgSz w:w="8280" w:h="11850"/>
          <w:pgMar w:top="1007" w:right="1204" w:bottom="1291" w:left="1219" w:header="0" w:footer="1032" w:gutter="0"/>
          <w:cols w:space="720" w:num="1"/>
        </w:sectPr>
      </w:pPr>
    </w:p>
    <w:p>
      <w:pPr>
        <w:pStyle w:val="2"/>
        <w:spacing w:line="303" w:lineRule="auto"/>
      </w:pPr>
    </w:p>
    <w:p>
      <w:pPr>
        <w:spacing w:before="52" w:line="223" w:lineRule="auto"/>
        <w:ind w:left="2"/>
        <w:rPr>
          <w:rFonts w:ascii="黑体" w:hAnsi="黑体" w:eastAsia="黑体" w:cs="黑体"/>
          <w:sz w:val="16"/>
          <w:szCs w:val="16"/>
        </w:rPr>
      </w:pPr>
      <w:bookmarkStart w:id="24" w:name="bookmark82"/>
      <w:bookmarkEnd w:id="24"/>
      <w:r>
        <w:rPr>
          <w:rFonts w:ascii="黑体" w:hAnsi="黑体" w:eastAsia="黑体" w:cs="黑体"/>
          <w:b/>
          <w:bCs/>
          <w:sz w:val="16"/>
          <w:szCs w:val="16"/>
        </w:rPr>
        <w:t>续表5.2.1</w:t>
      </w:r>
    </w:p>
    <w:p>
      <w:pPr>
        <w:spacing w:line="66" w:lineRule="exact"/>
      </w:pPr>
    </w:p>
    <w:tbl>
      <w:tblPr>
        <w:tblStyle w:val="5"/>
        <w:tblW w:w="580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878"/>
        <w:gridCol w:w="3713"/>
        <w:gridCol w:w="7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474" w:type="dxa"/>
            <w:vAlign w:val="top"/>
          </w:tcPr>
          <w:p>
            <w:pPr>
              <w:pStyle w:val="6"/>
              <w:spacing w:before="32" w:line="219" w:lineRule="auto"/>
              <w:ind w:left="55"/>
            </w:pPr>
            <w:r>
              <w:rPr>
                <w:spacing w:val="-3"/>
              </w:rPr>
              <w:t>耐火</w:t>
            </w:r>
          </w:p>
          <w:p>
            <w:pPr>
              <w:pStyle w:val="6"/>
              <w:spacing w:before="18" w:line="219" w:lineRule="auto"/>
              <w:ind w:left="55"/>
            </w:pPr>
            <w:r>
              <w:rPr>
                <w:spacing w:val="-2"/>
              </w:rPr>
              <w:t>等级</w:t>
            </w:r>
          </w:p>
        </w:tc>
        <w:tc>
          <w:tcPr>
            <w:tcW w:w="878" w:type="dxa"/>
            <w:vAlign w:val="top"/>
          </w:tcPr>
          <w:p>
            <w:pPr>
              <w:pStyle w:val="6"/>
              <w:spacing w:before="43" w:line="228" w:lineRule="auto"/>
              <w:ind w:left="260" w:right="195" w:hanging="90"/>
            </w:pPr>
            <w:r>
              <w:rPr>
                <w:spacing w:val="-3"/>
              </w:rPr>
              <w:t>建筑物</w:t>
            </w:r>
            <w:r>
              <w:rPr>
                <w:spacing w:val="6"/>
              </w:rPr>
              <w:t>类别</w:t>
            </w:r>
          </w:p>
        </w:tc>
        <w:tc>
          <w:tcPr>
            <w:tcW w:w="3713" w:type="dxa"/>
            <w:vAlign w:val="top"/>
          </w:tcPr>
          <w:p>
            <w:pPr>
              <w:pStyle w:val="6"/>
              <w:spacing w:before="152" w:line="219" w:lineRule="auto"/>
              <w:ind w:left="1683"/>
            </w:pPr>
            <w:r>
              <w:rPr>
                <w:spacing w:val="-3"/>
              </w:rPr>
              <w:t>分类</w:t>
            </w:r>
          </w:p>
        </w:tc>
        <w:tc>
          <w:tcPr>
            <w:tcW w:w="744" w:type="dxa"/>
            <w:vAlign w:val="top"/>
          </w:tcPr>
          <w:p>
            <w:pPr>
              <w:pStyle w:val="6"/>
              <w:spacing w:before="153" w:line="221" w:lineRule="auto"/>
              <w:ind w:left="29"/>
            </w:pPr>
            <w:r>
              <w:rPr>
                <w:spacing w:val="-2"/>
              </w:rPr>
              <w:t>设计流量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474" w:type="dxa"/>
            <w:vMerge w:val="restart"/>
            <w:tcBorders>
              <w:bottom w:val="nil"/>
            </w:tcBorders>
            <w:vAlign w:val="top"/>
          </w:tcPr>
          <w:p>
            <w:pPr>
              <w:pStyle w:val="6"/>
              <w:spacing w:before="203" w:line="235" w:lineRule="auto"/>
              <w:jc w:val="right"/>
            </w:pPr>
            <w:r>
              <w:rPr>
                <w:spacing w:val="-22"/>
              </w:rPr>
              <w:t>三、</w:t>
            </w:r>
          </w:p>
          <w:p>
            <w:pPr>
              <w:pStyle w:val="6"/>
              <w:spacing w:before="141" w:line="221" w:lineRule="auto"/>
              <w:ind w:left="55"/>
            </w:pPr>
            <w:r>
              <w:rPr>
                <w:spacing w:val="-2"/>
              </w:rPr>
              <w:t>三级</w:t>
            </w:r>
          </w:p>
        </w:tc>
        <w:tc>
          <w:tcPr>
            <w:tcW w:w="878" w:type="dxa"/>
            <w:vMerge w:val="restart"/>
            <w:tcBorders>
              <w:bottom w:val="nil"/>
            </w:tcBorders>
            <w:vAlign w:val="top"/>
          </w:tcPr>
          <w:p>
            <w:pPr>
              <w:pStyle w:val="6"/>
              <w:spacing w:before="129" w:line="219" w:lineRule="auto"/>
              <w:ind w:right="11"/>
              <w:jc w:val="right"/>
            </w:pPr>
            <w:r>
              <w:rPr>
                <w:spacing w:val="21"/>
              </w:rPr>
              <w:t>汽车库、</w:t>
            </w:r>
          </w:p>
          <w:p>
            <w:pPr>
              <w:pStyle w:val="6"/>
              <w:spacing w:before="7" w:line="241" w:lineRule="auto"/>
              <w:ind w:left="169" w:right="11" w:hanging="79"/>
            </w:pPr>
            <w:r>
              <w:rPr>
                <w:spacing w:val="21"/>
              </w:rPr>
              <w:t>修车库、</w:t>
            </w:r>
            <w:r>
              <w:rPr>
                <w:spacing w:val="-2"/>
              </w:rPr>
              <w:t>停车场</w:t>
            </w:r>
          </w:p>
        </w:tc>
        <w:tc>
          <w:tcPr>
            <w:tcW w:w="3713" w:type="dxa"/>
            <w:vAlign w:val="top"/>
          </w:tcPr>
          <w:p>
            <w:pPr>
              <w:pStyle w:val="6"/>
              <w:spacing w:before="59" w:line="219" w:lineRule="auto"/>
              <w:ind w:left="1553"/>
            </w:pPr>
            <w:r>
              <w:rPr>
                <w:spacing w:val="-3"/>
              </w:rPr>
              <w:t>I、Ⅱ类</w:t>
            </w:r>
          </w:p>
        </w:tc>
        <w:tc>
          <w:tcPr>
            <w:tcW w:w="744" w:type="dxa"/>
            <w:vAlign w:val="top"/>
          </w:tcPr>
          <w:p>
            <w:pPr>
              <w:pStyle w:val="6"/>
              <w:spacing w:before="75" w:line="210" w:lineRule="auto"/>
              <w:ind w:left="280"/>
            </w:pPr>
            <w:r>
              <w:rPr>
                <w:spacing w:val="-3"/>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474" w:type="dxa"/>
            <w:vMerge w:val="continue"/>
            <w:tcBorders>
              <w:top w:val="nil"/>
              <w:bottom w:val="nil"/>
            </w:tcBorders>
            <w:vAlign w:val="top"/>
          </w:tcPr>
          <w:p>
            <w:pPr>
              <w:rPr>
                <w:rFonts w:ascii="Arial"/>
                <w:sz w:val="21"/>
              </w:rPr>
            </w:pPr>
          </w:p>
        </w:tc>
        <w:tc>
          <w:tcPr>
            <w:tcW w:w="878" w:type="dxa"/>
            <w:vMerge w:val="continue"/>
            <w:tcBorders>
              <w:top w:val="nil"/>
              <w:bottom w:val="nil"/>
            </w:tcBorders>
            <w:vAlign w:val="top"/>
          </w:tcPr>
          <w:p>
            <w:pPr>
              <w:rPr>
                <w:rFonts w:ascii="Arial"/>
                <w:sz w:val="21"/>
              </w:rPr>
            </w:pPr>
          </w:p>
        </w:tc>
        <w:tc>
          <w:tcPr>
            <w:tcW w:w="3713" w:type="dxa"/>
            <w:vAlign w:val="top"/>
          </w:tcPr>
          <w:p>
            <w:pPr>
              <w:pStyle w:val="6"/>
              <w:spacing w:before="60" w:line="219" w:lineRule="auto"/>
              <w:ind w:left="1683"/>
            </w:pPr>
            <w:r>
              <w:rPr>
                <w:spacing w:val="-2"/>
              </w:rPr>
              <w:t>Ⅲ类</w:t>
            </w:r>
          </w:p>
        </w:tc>
        <w:tc>
          <w:tcPr>
            <w:tcW w:w="744" w:type="dxa"/>
            <w:vAlign w:val="top"/>
          </w:tcPr>
          <w:p>
            <w:pPr>
              <w:pStyle w:val="6"/>
              <w:spacing w:before="77" w:line="219" w:lineRule="auto"/>
              <w:ind w:left="280"/>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474" w:type="dxa"/>
            <w:vMerge w:val="continue"/>
            <w:tcBorders>
              <w:top w:val="nil"/>
            </w:tcBorders>
            <w:vAlign w:val="top"/>
          </w:tcPr>
          <w:p>
            <w:pPr>
              <w:rPr>
                <w:rFonts w:ascii="Arial"/>
                <w:sz w:val="21"/>
              </w:rPr>
            </w:pPr>
          </w:p>
        </w:tc>
        <w:tc>
          <w:tcPr>
            <w:tcW w:w="878" w:type="dxa"/>
            <w:vMerge w:val="continue"/>
            <w:tcBorders>
              <w:top w:val="nil"/>
            </w:tcBorders>
            <w:vAlign w:val="top"/>
          </w:tcPr>
          <w:p>
            <w:pPr>
              <w:rPr>
                <w:rFonts w:ascii="Arial"/>
                <w:sz w:val="21"/>
              </w:rPr>
            </w:pPr>
          </w:p>
        </w:tc>
        <w:tc>
          <w:tcPr>
            <w:tcW w:w="3713" w:type="dxa"/>
            <w:vAlign w:val="top"/>
          </w:tcPr>
          <w:p>
            <w:pPr>
              <w:pStyle w:val="6"/>
              <w:spacing w:before="51" w:line="219" w:lineRule="auto"/>
              <w:ind w:left="1683"/>
            </w:pPr>
            <w:r>
              <w:t>IV</w:t>
            </w:r>
            <w:r>
              <w:rPr>
                <w:spacing w:val="7"/>
              </w:rPr>
              <w:t>类</w:t>
            </w:r>
          </w:p>
        </w:tc>
        <w:tc>
          <w:tcPr>
            <w:tcW w:w="744" w:type="dxa"/>
            <w:vAlign w:val="top"/>
          </w:tcPr>
          <w:p>
            <w:pPr>
              <w:pStyle w:val="6"/>
              <w:spacing w:before="68" w:line="207" w:lineRule="auto"/>
              <w:ind w:left="280"/>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474" w:type="dxa"/>
            <w:vAlign w:val="top"/>
          </w:tcPr>
          <w:p>
            <w:pPr>
              <w:pStyle w:val="6"/>
              <w:spacing w:before="52" w:line="206" w:lineRule="auto"/>
              <w:ind w:left="55"/>
            </w:pPr>
            <w:r>
              <w:rPr>
                <w:spacing w:val="-3"/>
              </w:rPr>
              <w:t>耐火</w:t>
            </w:r>
          </w:p>
          <w:p>
            <w:pPr>
              <w:pStyle w:val="6"/>
              <w:spacing w:line="219" w:lineRule="auto"/>
              <w:ind w:left="64"/>
            </w:pPr>
            <w:r>
              <w:rPr>
                <w:spacing w:val="-2"/>
              </w:rPr>
              <w:t>等级</w:t>
            </w:r>
          </w:p>
        </w:tc>
        <w:tc>
          <w:tcPr>
            <w:tcW w:w="878" w:type="dxa"/>
            <w:vAlign w:val="top"/>
          </w:tcPr>
          <w:p>
            <w:pPr>
              <w:pStyle w:val="6"/>
              <w:spacing w:before="41" w:line="219" w:lineRule="auto"/>
              <w:ind w:left="260" w:right="195" w:hanging="90"/>
            </w:pPr>
            <w:r>
              <w:rPr>
                <w:spacing w:val="-3"/>
              </w:rPr>
              <w:t>建筑物</w:t>
            </w:r>
            <w:r>
              <w:rPr>
                <w:spacing w:val="6"/>
              </w:rPr>
              <w:t>类别</w:t>
            </w:r>
          </w:p>
        </w:tc>
        <w:tc>
          <w:tcPr>
            <w:tcW w:w="3713" w:type="dxa"/>
            <w:vAlign w:val="top"/>
          </w:tcPr>
          <w:p>
            <w:pPr>
              <w:pStyle w:val="6"/>
              <w:spacing w:before="152" w:line="219" w:lineRule="auto"/>
              <w:ind w:left="1683"/>
            </w:pPr>
            <w:r>
              <w:rPr>
                <w:spacing w:val="-2"/>
              </w:rPr>
              <w:t>等级</w:t>
            </w:r>
          </w:p>
        </w:tc>
        <w:tc>
          <w:tcPr>
            <w:tcW w:w="744" w:type="dxa"/>
            <w:vAlign w:val="top"/>
          </w:tcPr>
          <w:p>
            <w:pPr>
              <w:pStyle w:val="6"/>
              <w:spacing w:before="152" w:line="221" w:lineRule="auto"/>
              <w:ind w:left="29"/>
            </w:pPr>
            <w:r>
              <w:rPr>
                <w:spacing w:val="-2"/>
              </w:rPr>
              <w:t>设计流量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474" w:type="dxa"/>
            <w:vMerge w:val="restart"/>
            <w:tcBorders>
              <w:bottom w:val="nil"/>
            </w:tcBorders>
            <w:vAlign w:val="top"/>
          </w:tcPr>
          <w:p>
            <w:pPr>
              <w:spacing w:line="305" w:lineRule="auto"/>
              <w:rPr>
                <w:rFonts w:ascii="Arial"/>
                <w:sz w:val="21"/>
              </w:rPr>
            </w:pPr>
          </w:p>
          <w:p>
            <w:pPr>
              <w:pStyle w:val="6"/>
              <w:spacing w:before="55" w:line="45" w:lineRule="exact"/>
              <w:ind w:left="55"/>
            </w:pPr>
            <w:r>
              <w:rPr>
                <w:position w:val="-6"/>
              </w:rPr>
              <w:t>一</w:t>
            </w:r>
          </w:p>
          <w:p>
            <w:pPr>
              <w:pStyle w:val="6"/>
              <w:spacing w:line="58" w:lineRule="exact"/>
              <w:jc w:val="right"/>
            </w:pPr>
            <w:r>
              <w:rPr>
                <w:spacing w:val="-30"/>
                <w:w w:val="82"/>
              </w:rPr>
              <w:t>、</w:t>
            </w:r>
          </w:p>
          <w:p>
            <w:pPr>
              <w:pStyle w:val="6"/>
              <w:spacing w:line="221" w:lineRule="auto"/>
              <w:ind w:left="55"/>
            </w:pPr>
            <w:r>
              <w:rPr>
                <w:spacing w:val="-3"/>
              </w:rPr>
              <w:t>二级</w:t>
            </w:r>
          </w:p>
        </w:tc>
        <w:tc>
          <w:tcPr>
            <w:tcW w:w="878" w:type="dxa"/>
            <w:vMerge w:val="restart"/>
            <w:tcBorders>
              <w:bottom w:val="nil"/>
            </w:tcBorders>
            <w:vAlign w:val="top"/>
          </w:tcPr>
          <w:p>
            <w:pPr>
              <w:pStyle w:val="6"/>
              <w:spacing w:before="134" w:line="220" w:lineRule="auto"/>
              <w:ind w:left="170"/>
            </w:pPr>
            <w:r>
              <w:rPr>
                <w:spacing w:val="9"/>
              </w:rPr>
              <w:t>电动自</w:t>
            </w:r>
          </w:p>
          <w:p>
            <w:pPr>
              <w:pStyle w:val="6"/>
              <w:spacing w:before="36" w:line="217" w:lineRule="auto"/>
              <w:ind w:left="170"/>
            </w:pPr>
            <w:r>
              <w:rPr>
                <w:spacing w:val="-3"/>
              </w:rPr>
              <w:t>行车停</w:t>
            </w:r>
          </w:p>
          <w:p>
            <w:pPr>
              <w:pStyle w:val="6"/>
              <w:spacing w:line="219" w:lineRule="auto"/>
              <w:ind w:left="260"/>
            </w:pPr>
            <w:r>
              <w:rPr>
                <w:spacing w:val="-2"/>
              </w:rPr>
              <w:t>车库</w:t>
            </w:r>
          </w:p>
        </w:tc>
        <w:tc>
          <w:tcPr>
            <w:tcW w:w="3713" w:type="dxa"/>
            <w:vAlign w:val="top"/>
          </w:tcPr>
          <w:p>
            <w:pPr>
              <w:pStyle w:val="6"/>
              <w:spacing w:before="64" w:line="219" w:lineRule="auto"/>
              <w:ind w:left="1083"/>
            </w:pPr>
            <w:r>
              <w:rPr>
                <w:spacing w:val="3"/>
              </w:rPr>
              <w:t>大型(停车数&gt;400辆)</w:t>
            </w:r>
          </w:p>
        </w:tc>
        <w:tc>
          <w:tcPr>
            <w:tcW w:w="744" w:type="dxa"/>
            <w:vAlign w:val="top"/>
          </w:tcPr>
          <w:p>
            <w:pPr>
              <w:pStyle w:val="6"/>
              <w:spacing w:before="81" w:line="215" w:lineRule="auto"/>
              <w:ind w:left="280"/>
            </w:pPr>
            <w:r>
              <w:rPr>
                <w:spacing w:val="-3"/>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474" w:type="dxa"/>
            <w:vMerge w:val="continue"/>
            <w:tcBorders>
              <w:top w:val="nil"/>
              <w:bottom w:val="nil"/>
            </w:tcBorders>
            <w:vAlign w:val="top"/>
          </w:tcPr>
          <w:p>
            <w:pPr>
              <w:rPr>
                <w:rFonts w:ascii="Arial"/>
                <w:sz w:val="21"/>
              </w:rPr>
            </w:pPr>
          </w:p>
        </w:tc>
        <w:tc>
          <w:tcPr>
            <w:tcW w:w="878" w:type="dxa"/>
            <w:vMerge w:val="continue"/>
            <w:tcBorders>
              <w:top w:val="nil"/>
              <w:bottom w:val="nil"/>
            </w:tcBorders>
            <w:vAlign w:val="top"/>
          </w:tcPr>
          <w:p>
            <w:pPr>
              <w:rPr>
                <w:rFonts w:ascii="Arial"/>
                <w:sz w:val="21"/>
              </w:rPr>
            </w:pPr>
          </w:p>
        </w:tc>
        <w:tc>
          <w:tcPr>
            <w:tcW w:w="3713" w:type="dxa"/>
            <w:vAlign w:val="top"/>
          </w:tcPr>
          <w:p>
            <w:pPr>
              <w:pStyle w:val="6"/>
              <w:spacing w:before="65" w:line="219" w:lineRule="auto"/>
              <w:ind w:left="832"/>
            </w:pPr>
            <w:r>
              <w:rPr>
                <w:spacing w:val="2"/>
              </w:rPr>
              <w:t>中型(停车数201辆～400辆)</w:t>
            </w:r>
          </w:p>
        </w:tc>
        <w:tc>
          <w:tcPr>
            <w:tcW w:w="744" w:type="dxa"/>
            <w:vAlign w:val="top"/>
          </w:tcPr>
          <w:p>
            <w:pPr>
              <w:pStyle w:val="6"/>
              <w:spacing w:before="81" w:line="214" w:lineRule="auto"/>
              <w:ind w:left="280"/>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474" w:type="dxa"/>
            <w:vMerge w:val="continue"/>
            <w:tcBorders>
              <w:top w:val="nil"/>
            </w:tcBorders>
            <w:vAlign w:val="top"/>
          </w:tcPr>
          <w:p>
            <w:pPr>
              <w:rPr>
                <w:rFonts w:ascii="Arial"/>
                <w:sz w:val="21"/>
              </w:rPr>
            </w:pPr>
          </w:p>
        </w:tc>
        <w:tc>
          <w:tcPr>
            <w:tcW w:w="878" w:type="dxa"/>
            <w:vMerge w:val="continue"/>
            <w:tcBorders>
              <w:top w:val="nil"/>
            </w:tcBorders>
            <w:vAlign w:val="top"/>
          </w:tcPr>
          <w:p>
            <w:pPr>
              <w:rPr>
                <w:rFonts w:ascii="Arial"/>
                <w:sz w:val="21"/>
              </w:rPr>
            </w:pPr>
          </w:p>
        </w:tc>
        <w:tc>
          <w:tcPr>
            <w:tcW w:w="3713" w:type="dxa"/>
            <w:vAlign w:val="top"/>
          </w:tcPr>
          <w:p>
            <w:pPr>
              <w:pStyle w:val="6"/>
              <w:spacing w:before="56" w:line="219" w:lineRule="auto"/>
              <w:ind w:left="872"/>
            </w:pPr>
            <w:r>
              <w:rPr>
                <w:spacing w:val="2"/>
              </w:rPr>
              <w:t>小型(停车数11辆～200辆)</w:t>
            </w:r>
          </w:p>
        </w:tc>
        <w:tc>
          <w:tcPr>
            <w:tcW w:w="744" w:type="dxa"/>
            <w:vAlign w:val="top"/>
          </w:tcPr>
          <w:p>
            <w:pPr>
              <w:pStyle w:val="6"/>
              <w:spacing w:before="73" w:line="207" w:lineRule="auto"/>
              <w:ind w:left="280"/>
            </w:pPr>
            <w:r>
              <w:rPr>
                <w:spacing w:val="-5"/>
              </w:rPr>
              <w:t>10</w:t>
            </w:r>
          </w:p>
        </w:tc>
      </w:tr>
    </w:tbl>
    <w:p>
      <w:pPr>
        <w:spacing w:before="70" w:line="237" w:lineRule="auto"/>
        <w:ind w:left="618" w:right="23" w:hanging="449"/>
        <w:rPr>
          <w:rFonts w:ascii="宋体" w:hAnsi="宋体" w:eastAsia="宋体" w:cs="宋体"/>
          <w:sz w:val="16"/>
          <w:szCs w:val="16"/>
        </w:rPr>
      </w:pPr>
      <w:r>
        <w:rPr>
          <w:rFonts w:ascii="宋体" w:hAnsi="宋体" w:eastAsia="宋体" w:cs="宋体"/>
          <w:spacing w:val="-4"/>
          <w:sz w:val="16"/>
          <w:szCs w:val="16"/>
        </w:rPr>
        <w:t>注：1附属在民用建筑内的具有平战结合功能的人防工程，其室外消火栓设计流量</w:t>
      </w:r>
      <w:r>
        <w:rPr>
          <w:rFonts w:ascii="宋体" w:hAnsi="宋体" w:eastAsia="宋体" w:cs="宋体"/>
          <w:spacing w:val="-1"/>
          <w:sz w:val="16"/>
          <w:szCs w:val="16"/>
        </w:rPr>
        <w:t>应按民用建筑和人防工程分别计算设计流量并取大</w:t>
      </w:r>
      <w:r>
        <w:rPr>
          <w:rFonts w:ascii="宋体" w:hAnsi="宋体" w:eastAsia="宋体" w:cs="宋体"/>
          <w:spacing w:val="-2"/>
          <w:sz w:val="16"/>
          <w:szCs w:val="16"/>
        </w:rPr>
        <w:t>值确定。</w:t>
      </w:r>
    </w:p>
    <w:p>
      <w:pPr>
        <w:spacing w:line="214" w:lineRule="auto"/>
        <w:ind w:left="618" w:right="22" w:hanging="219"/>
        <w:rPr>
          <w:rFonts w:ascii="宋体" w:hAnsi="宋体" w:eastAsia="宋体" w:cs="宋体"/>
          <w:sz w:val="16"/>
          <w:szCs w:val="16"/>
        </w:rPr>
      </w:pPr>
      <w:r>
        <w:rPr>
          <w:rFonts w:ascii="宋体" w:hAnsi="宋体" w:eastAsia="宋体" w:cs="宋体"/>
          <w:spacing w:val="-2"/>
          <w:sz w:val="16"/>
          <w:szCs w:val="16"/>
        </w:rPr>
        <w:t>2宿舍、公寓等非住宅类居住建筑的室外消火栓</w:t>
      </w:r>
      <w:r>
        <w:rPr>
          <w:rFonts w:ascii="宋体" w:hAnsi="宋体" w:eastAsia="宋体" w:cs="宋体"/>
          <w:spacing w:val="-3"/>
          <w:sz w:val="16"/>
          <w:szCs w:val="16"/>
        </w:rPr>
        <w:t>设计流量，应按本表中的公共</w:t>
      </w:r>
      <w:r>
        <w:rPr>
          <w:rFonts w:ascii="宋体" w:hAnsi="宋体" w:eastAsia="宋体" w:cs="宋体"/>
          <w:spacing w:val="-2"/>
          <w:sz w:val="16"/>
          <w:szCs w:val="16"/>
        </w:rPr>
        <w:t>建筑确定。</w:t>
      </w:r>
    </w:p>
    <w:p>
      <w:pPr>
        <w:spacing w:before="18" w:line="214" w:lineRule="auto"/>
        <w:ind w:left="618" w:right="16" w:hanging="219"/>
        <w:rPr>
          <w:rFonts w:ascii="宋体" w:hAnsi="宋体" w:eastAsia="宋体" w:cs="宋体"/>
          <w:sz w:val="16"/>
          <w:szCs w:val="16"/>
        </w:rPr>
      </w:pPr>
      <w:r>
        <w:rPr>
          <w:rFonts w:ascii="宋体" w:hAnsi="宋体" w:eastAsia="宋体" w:cs="宋体"/>
          <w:spacing w:val="-2"/>
          <w:sz w:val="16"/>
          <w:szCs w:val="16"/>
        </w:rPr>
        <w:t>3附建在地下建筑内的汽车库和修车库，其室外消火栓设计流</w:t>
      </w:r>
      <w:r>
        <w:rPr>
          <w:rFonts w:ascii="宋体" w:hAnsi="宋体" w:eastAsia="宋体" w:cs="宋体"/>
          <w:spacing w:val="-3"/>
          <w:sz w:val="16"/>
          <w:szCs w:val="16"/>
        </w:rPr>
        <w:t>量应按汽车库和</w:t>
      </w:r>
      <w:r>
        <w:rPr>
          <w:rFonts w:ascii="宋体" w:hAnsi="宋体" w:eastAsia="宋体" w:cs="宋体"/>
          <w:spacing w:val="-2"/>
          <w:sz w:val="16"/>
          <w:szCs w:val="16"/>
        </w:rPr>
        <w:t>地下建筑分别计算设计流量并取大值确定。</w:t>
      </w:r>
    </w:p>
    <w:p>
      <w:pPr>
        <w:spacing w:before="1" w:line="230" w:lineRule="auto"/>
        <w:ind w:left="618" w:right="18" w:hanging="219"/>
        <w:rPr>
          <w:rFonts w:ascii="宋体" w:hAnsi="宋体" w:eastAsia="宋体" w:cs="宋体"/>
          <w:sz w:val="16"/>
          <w:szCs w:val="16"/>
        </w:rPr>
      </w:pPr>
      <w:r>
        <w:rPr>
          <w:rFonts w:ascii="宋体" w:hAnsi="宋体" w:eastAsia="宋体" w:cs="宋体"/>
          <w:spacing w:val="-2"/>
          <w:sz w:val="16"/>
          <w:szCs w:val="16"/>
        </w:rPr>
        <w:t>4当建筑地下室不仅有汽车库，还有商业等其他功能时，应计算地下室总体积</w:t>
      </w:r>
      <w:r>
        <w:rPr>
          <w:rFonts w:ascii="宋体" w:hAnsi="宋体" w:eastAsia="宋体" w:cs="宋体"/>
          <w:spacing w:val="-1"/>
          <w:sz w:val="16"/>
          <w:szCs w:val="16"/>
        </w:rPr>
        <w:t>并按汽车库和地下建筑分别计算设计流量并</w:t>
      </w:r>
      <w:r>
        <w:rPr>
          <w:rFonts w:ascii="宋体" w:hAnsi="宋体" w:eastAsia="宋体" w:cs="宋体"/>
          <w:spacing w:val="-2"/>
          <w:sz w:val="16"/>
          <w:szCs w:val="16"/>
        </w:rPr>
        <w:t>取较大值确定。</w:t>
      </w:r>
    </w:p>
    <w:p>
      <w:pPr>
        <w:pStyle w:val="2"/>
        <w:spacing w:before="93" w:line="279" w:lineRule="auto"/>
        <w:ind w:right="39"/>
        <w:rPr>
          <w:rFonts w:ascii="宋体" w:hAnsi="宋体" w:eastAsia="宋体" w:cs="宋体"/>
        </w:rPr>
      </w:pPr>
      <w:r>
        <w:rPr>
          <w:b/>
          <w:bCs/>
          <w:spacing w:val="2"/>
        </w:rPr>
        <w:t>5.2.2</w:t>
      </w:r>
      <w:r>
        <w:rPr>
          <w:rFonts w:ascii="宋体" w:hAnsi="宋体" w:eastAsia="宋体" w:cs="宋体"/>
          <w:spacing w:val="2"/>
        </w:rPr>
        <w:t>建筑的消防用水量应按一次火灾室内外消防用水量计算确定。其一次火灾的延续时间应符合表5.2.2的规定。</w:t>
      </w:r>
    </w:p>
    <w:p>
      <w:pPr>
        <w:spacing w:before="1" w:line="220" w:lineRule="auto"/>
        <w:ind w:left="622"/>
        <w:rPr>
          <w:rFonts w:ascii="黑体" w:hAnsi="黑体" w:eastAsia="黑体" w:cs="黑体"/>
          <w:sz w:val="21"/>
          <w:szCs w:val="21"/>
        </w:rPr>
      </w:pPr>
      <w:r>
        <w:rPr>
          <w:rFonts w:ascii="黑体" w:hAnsi="黑体" w:eastAsia="黑体" w:cs="黑体"/>
          <w:b/>
          <w:bCs/>
          <w:spacing w:val="-19"/>
          <w:w w:val="96"/>
          <w:sz w:val="21"/>
          <w:szCs w:val="21"/>
        </w:rPr>
        <w:t>表5.2.2不同类型建筑物及灭火系统类型的火灾延续时间</w:t>
      </w:r>
    </w:p>
    <w:p>
      <w:pPr>
        <w:spacing w:line="40" w:lineRule="exact"/>
      </w:pPr>
    </w:p>
    <w:tbl>
      <w:tblPr>
        <w:tblStyle w:val="5"/>
        <w:tblW w:w="5809"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2"/>
        <w:gridCol w:w="479"/>
        <w:gridCol w:w="2376"/>
        <w:gridCol w:w="16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262" w:type="dxa"/>
            <w:vAlign w:val="top"/>
          </w:tcPr>
          <w:p>
            <w:pPr>
              <w:pStyle w:val="6"/>
              <w:spacing w:before="61" w:line="219" w:lineRule="auto"/>
              <w:ind w:left="144"/>
              <w:rPr>
                <w:sz w:val="16"/>
                <w:szCs w:val="16"/>
              </w:rPr>
            </w:pPr>
            <w:r>
              <w:rPr>
                <w:spacing w:val="-2"/>
                <w:sz w:val="16"/>
                <w:szCs w:val="16"/>
              </w:rPr>
              <w:t>灭火系统类型</w:t>
            </w:r>
          </w:p>
        </w:tc>
        <w:tc>
          <w:tcPr>
            <w:tcW w:w="2855" w:type="dxa"/>
            <w:gridSpan w:val="2"/>
            <w:vAlign w:val="top"/>
          </w:tcPr>
          <w:p>
            <w:pPr>
              <w:pStyle w:val="6"/>
              <w:spacing w:before="62" w:line="220" w:lineRule="auto"/>
              <w:ind w:left="1022"/>
              <w:rPr>
                <w:sz w:val="16"/>
                <w:szCs w:val="16"/>
              </w:rPr>
            </w:pPr>
            <w:r>
              <w:rPr>
                <w:spacing w:val="-2"/>
                <w:sz w:val="16"/>
                <w:szCs w:val="16"/>
              </w:rPr>
              <w:t>建筑物名称</w:t>
            </w:r>
          </w:p>
        </w:tc>
        <w:tc>
          <w:tcPr>
            <w:tcW w:w="1692" w:type="dxa"/>
            <w:vAlign w:val="top"/>
          </w:tcPr>
          <w:p>
            <w:pPr>
              <w:pStyle w:val="6"/>
              <w:spacing w:before="61" w:line="219" w:lineRule="auto"/>
              <w:ind w:left="237"/>
              <w:rPr>
                <w:sz w:val="16"/>
                <w:szCs w:val="16"/>
              </w:rPr>
            </w:pPr>
            <w:r>
              <w:rPr>
                <w:spacing w:val="3"/>
                <w:sz w:val="16"/>
                <w:szCs w:val="16"/>
              </w:rPr>
              <w:t>火灾延续时间(h)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262" w:type="dxa"/>
            <w:vMerge w:val="restart"/>
            <w:tcBorders>
              <w:bottom w:val="nil"/>
            </w:tcBorders>
            <w:vAlign w:val="top"/>
          </w:tcPr>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8" w:lineRule="auto"/>
              <w:rPr>
                <w:rFonts w:ascii="Arial"/>
                <w:sz w:val="21"/>
              </w:rPr>
            </w:pPr>
          </w:p>
          <w:p>
            <w:pPr>
              <w:pStyle w:val="6"/>
              <w:spacing w:before="52" w:line="219" w:lineRule="auto"/>
              <w:ind w:left="64"/>
              <w:rPr>
                <w:sz w:val="16"/>
                <w:szCs w:val="16"/>
              </w:rPr>
            </w:pPr>
            <w:r>
              <w:rPr>
                <w:spacing w:val="-2"/>
                <w:sz w:val="16"/>
                <w:szCs w:val="16"/>
              </w:rPr>
              <w:t>消火栓给水系统</w:t>
            </w:r>
          </w:p>
        </w:tc>
        <w:tc>
          <w:tcPr>
            <w:tcW w:w="2855" w:type="dxa"/>
            <w:gridSpan w:val="2"/>
            <w:vAlign w:val="top"/>
          </w:tcPr>
          <w:p>
            <w:pPr>
              <w:pStyle w:val="6"/>
              <w:spacing w:before="27" w:line="242" w:lineRule="auto"/>
              <w:ind w:left="92"/>
              <w:rPr>
                <w:sz w:val="16"/>
                <w:szCs w:val="16"/>
              </w:rPr>
            </w:pPr>
            <w:r>
              <w:rPr>
                <w:spacing w:val="-8"/>
                <w:sz w:val="16"/>
                <w:szCs w:val="16"/>
              </w:rPr>
              <w:t>高层建筑中的商业楼、展览楼、综合楼、</w:t>
            </w:r>
            <w:r>
              <w:rPr>
                <w:spacing w:val="-4"/>
                <w:sz w:val="16"/>
                <w:szCs w:val="16"/>
              </w:rPr>
              <w:t>建筑高度大于50m的财贸金融楼、图</w:t>
            </w:r>
          </w:p>
          <w:p>
            <w:pPr>
              <w:pStyle w:val="6"/>
              <w:spacing w:line="230" w:lineRule="auto"/>
              <w:ind w:left="92"/>
              <w:rPr>
                <w:sz w:val="16"/>
                <w:szCs w:val="16"/>
              </w:rPr>
            </w:pPr>
            <w:r>
              <w:rPr>
                <w:spacing w:val="-9"/>
                <w:sz w:val="16"/>
                <w:szCs w:val="16"/>
              </w:rPr>
              <w:t>书</w:t>
            </w:r>
            <w:r>
              <w:rPr>
                <w:spacing w:val="-8"/>
                <w:sz w:val="16"/>
                <w:szCs w:val="16"/>
              </w:rPr>
              <w:t>馆、书库、重要的档案楼、科研楼、</w:t>
            </w:r>
            <w:r>
              <w:rPr>
                <w:spacing w:val="-7"/>
                <w:sz w:val="16"/>
                <w:szCs w:val="16"/>
              </w:rPr>
              <w:t>高</w:t>
            </w:r>
            <w:r>
              <w:rPr>
                <w:spacing w:val="-1"/>
                <w:sz w:val="16"/>
                <w:szCs w:val="16"/>
              </w:rPr>
              <w:t>级宾馆、医院、邮政楼等</w:t>
            </w:r>
          </w:p>
        </w:tc>
        <w:tc>
          <w:tcPr>
            <w:tcW w:w="1692" w:type="dxa"/>
            <w:vAlign w:val="top"/>
          </w:tcPr>
          <w:p>
            <w:pPr>
              <w:spacing w:line="309" w:lineRule="auto"/>
              <w:rPr>
                <w:rFonts w:ascii="Arial"/>
                <w:sz w:val="21"/>
              </w:rPr>
            </w:pPr>
          </w:p>
          <w:p>
            <w:pPr>
              <w:pStyle w:val="6"/>
              <w:spacing w:before="52"/>
              <w:ind w:left="797"/>
              <w:rPr>
                <w:sz w:val="16"/>
                <w:szCs w:val="16"/>
              </w:rPr>
            </w:pPr>
            <w:r>
              <w:rPr>
                <w:sz w:val="16"/>
                <w:szCs w:val="16"/>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262" w:type="dxa"/>
            <w:vMerge w:val="continue"/>
            <w:tcBorders>
              <w:top w:val="nil"/>
              <w:bottom w:val="nil"/>
            </w:tcBorders>
            <w:vAlign w:val="top"/>
          </w:tcPr>
          <w:p>
            <w:pPr>
              <w:rPr>
                <w:rFonts w:ascii="Arial"/>
                <w:sz w:val="21"/>
              </w:rPr>
            </w:pPr>
          </w:p>
        </w:tc>
        <w:tc>
          <w:tcPr>
            <w:tcW w:w="2855" w:type="dxa"/>
            <w:gridSpan w:val="2"/>
            <w:vAlign w:val="top"/>
          </w:tcPr>
          <w:p>
            <w:pPr>
              <w:pStyle w:val="6"/>
              <w:spacing w:before="71" w:line="219" w:lineRule="auto"/>
              <w:ind w:left="92"/>
              <w:rPr>
                <w:sz w:val="16"/>
                <w:szCs w:val="16"/>
              </w:rPr>
            </w:pPr>
            <w:r>
              <w:rPr>
                <w:spacing w:val="-1"/>
                <w:sz w:val="16"/>
                <w:szCs w:val="16"/>
              </w:rPr>
              <w:t>住宅及其他公共建筑</w:t>
            </w:r>
          </w:p>
        </w:tc>
        <w:tc>
          <w:tcPr>
            <w:tcW w:w="1692" w:type="dxa"/>
            <w:vAlign w:val="top"/>
          </w:tcPr>
          <w:p>
            <w:pPr>
              <w:pStyle w:val="6"/>
              <w:spacing w:before="87" w:line="221" w:lineRule="auto"/>
              <w:ind w:left="797"/>
              <w:rPr>
                <w:sz w:val="16"/>
                <w:szCs w:val="16"/>
              </w:rPr>
            </w:pPr>
            <w:r>
              <w:rPr>
                <w:sz w:val="16"/>
                <w:szCs w:val="16"/>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262" w:type="dxa"/>
            <w:vMerge w:val="continue"/>
            <w:tcBorders>
              <w:top w:val="nil"/>
              <w:bottom w:val="nil"/>
            </w:tcBorders>
            <w:vAlign w:val="top"/>
          </w:tcPr>
          <w:p>
            <w:pPr>
              <w:rPr>
                <w:rFonts w:ascii="Arial"/>
                <w:sz w:val="21"/>
              </w:rPr>
            </w:pPr>
          </w:p>
        </w:tc>
        <w:tc>
          <w:tcPr>
            <w:tcW w:w="479" w:type="dxa"/>
            <w:vMerge w:val="restart"/>
            <w:tcBorders>
              <w:bottom w:val="nil"/>
            </w:tcBorders>
            <w:vAlign w:val="top"/>
          </w:tcPr>
          <w:p>
            <w:pPr>
              <w:pStyle w:val="6"/>
              <w:spacing w:before="103" w:line="220" w:lineRule="auto"/>
              <w:ind w:left="72"/>
              <w:rPr>
                <w:sz w:val="16"/>
                <w:szCs w:val="16"/>
              </w:rPr>
            </w:pPr>
            <w:r>
              <w:rPr>
                <w:spacing w:val="-2"/>
                <w:sz w:val="16"/>
                <w:szCs w:val="16"/>
              </w:rPr>
              <w:t>人防</w:t>
            </w:r>
          </w:p>
          <w:p>
            <w:pPr>
              <w:pStyle w:val="6"/>
              <w:spacing w:before="29" w:line="220" w:lineRule="auto"/>
              <w:ind w:left="72"/>
              <w:rPr>
                <w:sz w:val="16"/>
                <w:szCs w:val="16"/>
              </w:rPr>
            </w:pPr>
            <w:r>
              <w:rPr>
                <w:spacing w:val="-3"/>
                <w:sz w:val="16"/>
                <w:szCs w:val="16"/>
              </w:rPr>
              <w:t>工程</w:t>
            </w:r>
          </w:p>
        </w:tc>
        <w:tc>
          <w:tcPr>
            <w:tcW w:w="2376" w:type="dxa"/>
            <w:vAlign w:val="top"/>
          </w:tcPr>
          <w:p>
            <w:pPr>
              <w:pStyle w:val="6"/>
              <w:spacing w:before="73" w:line="220" w:lineRule="auto"/>
              <w:ind w:left="93"/>
              <w:rPr>
                <w:sz w:val="16"/>
                <w:szCs w:val="16"/>
              </w:rPr>
            </w:pPr>
            <w:r>
              <w:rPr>
                <w:spacing w:val="9"/>
                <w:sz w:val="16"/>
                <w:szCs w:val="16"/>
              </w:rPr>
              <w:t>建筑面积小于3000m²</w:t>
            </w:r>
          </w:p>
        </w:tc>
        <w:tc>
          <w:tcPr>
            <w:tcW w:w="1692" w:type="dxa"/>
            <w:vAlign w:val="top"/>
          </w:tcPr>
          <w:p>
            <w:pPr>
              <w:pStyle w:val="6"/>
              <w:spacing w:before="88" w:line="220" w:lineRule="auto"/>
              <w:ind w:left="797"/>
              <w:rPr>
                <w:sz w:val="16"/>
                <w:szCs w:val="16"/>
              </w:rPr>
            </w:pPr>
            <w:r>
              <w:rPr>
                <w:sz w:val="16"/>
                <w:szCs w:val="16"/>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1262" w:type="dxa"/>
            <w:vMerge w:val="continue"/>
            <w:tcBorders>
              <w:top w:val="nil"/>
              <w:bottom w:val="nil"/>
            </w:tcBorders>
            <w:vAlign w:val="top"/>
          </w:tcPr>
          <w:p>
            <w:pPr>
              <w:rPr>
                <w:rFonts w:ascii="Arial"/>
                <w:sz w:val="21"/>
              </w:rPr>
            </w:pPr>
          </w:p>
        </w:tc>
        <w:tc>
          <w:tcPr>
            <w:tcW w:w="479" w:type="dxa"/>
            <w:vMerge w:val="continue"/>
            <w:tcBorders>
              <w:top w:val="nil"/>
            </w:tcBorders>
            <w:vAlign w:val="top"/>
          </w:tcPr>
          <w:p>
            <w:pPr>
              <w:rPr>
                <w:rFonts w:ascii="Arial"/>
                <w:sz w:val="21"/>
              </w:rPr>
            </w:pPr>
          </w:p>
        </w:tc>
        <w:tc>
          <w:tcPr>
            <w:tcW w:w="2376" w:type="dxa"/>
            <w:vAlign w:val="top"/>
          </w:tcPr>
          <w:p>
            <w:pPr>
              <w:pStyle w:val="6"/>
              <w:spacing w:before="73" w:line="219" w:lineRule="auto"/>
              <w:ind w:left="93"/>
              <w:rPr>
                <w:sz w:val="16"/>
                <w:szCs w:val="16"/>
              </w:rPr>
            </w:pPr>
            <w:r>
              <w:rPr>
                <w:spacing w:val="7"/>
                <w:sz w:val="16"/>
                <w:szCs w:val="16"/>
              </w:rPr>
              <w:t>建筑面积大于或等于3000m²</w:t>
            </w:r>
          </w:p>
        </w:tc>
        <w:tc>
          <w:tcPr>
            <w:tcW w:w="1692" w:type="dxa"/>
            <w:vAlign w:val="top"/>
          </w:tcPr>
          <w:p>
            <w:pPr>
              <w:pStyle w:val="6"/>
              <w:spacing w:before="89" w:line="217" w:lineRule="auto"/>
              <w:ind w:left="797"/>
              <w:rPr>
                <w:sz w:val="16"/>
                <w:szCs w:val="16"/>
              </w:rPr>
            </w:pPr>
            <w:r>
              <w:rPr>
                <w:sz w:val="16"/>
                <w:szCs w:val="16"/>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262" w:type="dxa"/>
            <w:vMerge w:val="continue"/>
            <w:tcBorders>
              <w:top w:val="nil"/>
              <w:bottom w:val="nil"/>
            </w:tcBorders>
            <w:vAlign w:val="top"/>
          </w:tcPr>
          <w:p>
            <w:pPr>
              <w:rPr>
                <w:rFonts w:ascii="Arial"/>
                <w:sz w:val="21"/>
              </w:rPr>
            </w:pPr>
          </w:p>
        </w:tc>
        <w:tc>
          <w:tcPr>
            <w:tcW w:w="2855" w:type="dxa"/>
            <w:gridSpan w:val="2"/>
            <w:vAlign w:val="top"/>
          </w:tcPr>
          <w:p>
            <w:pPr>
              <w:pStyle w:val="6"/>
              <w:spacing w:before="65" w:line="219" w:lineRule="auto"/>
              <w:ind w:left="92"/>
              <w:rPr>
                <w:sz w:val="16"/>
                <w:szCs w:val="16"/>
              </w:rPr>
            </w:pPr>
            <w:r>
              <w:rPr>
                <w:spacing w:val="-1"/>
                <w:sz w:val="16"/>
                <w:szCs w:val="16"/>
              </w:rPr>
              <w:t>地下建筑、地铁车站</w:t>
            </w:r>
          </w:p>
        </w:tc>
        <w:tc>
          <w:tcPr>
            <w:tcW w:w="1692" w:type="dxa"/>
            <w:vAlign w:val="top"/>
          </w:tcPr>
          <w:p>
            <w:pPr>
              <w:pStyle w:val="6"/>
              <w:spacing w:before="81" w:line="205" w:lineRule="auto"/>
              <w:ind w:left="797"/>
              <w:rPr>
                <w:sz w:val="16"/>
                <w:szCs w:val="16"/>
              </w:rPr>
            </w:pPr>
            <w:r>
              <w:rPr>
                <w:sz w:val="16"/>
                <w:szCs w:val="16"/>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262" w:type="dxa"/>
            <w:vMerge w:val="continue"/>
            <w:tcBorders>
              <w:top w:val="nil"/>
            </w:tcBorders>
            <w:vAlign w:val="top"/>
          </w:tcPr>
          <w:p>
            <w:pPr>
              <w:rPr>
                <w:rFonts w:ascii="Arial"/>
                <w:sz w:val="21"/>
              </w:rPr>
            </w:pPr>
          </w:p>
        </w:tc>
        <w:tc>
          <w:tcPr>
            <w:tcW w:w="2855" w:type="dxa"/>
            <w:gridSpan w:val="2"/>
            <w:vAlign w:val="top"/>
          </w:tcPr>
          <w:p>
            <w:pPr>
              <w:pStyle w:val="6"/>
              <w:spacing w:before="76" w:line="219" w:lineRule="auto"/>
              <w:ind w:left="92"/>
              <w:rPr>
                <w:sz w:val="16"/>
                <w:szCs w:val="16"/>
              </w:rPr>
            </w:pPr>
            <w:r>
              <w:rPr>
                <w:spacing w:val="-1"/>
                <w:sz w:val="16"/>
                <w:szCs w:val="16"/>
              </w:rPr>
              <w:t>汽车库、修车库、停车场</w:t>
            </w:r>
          </w:p>
        </w:tc>
        <w:tc>
          <w:tcPr>
            <w:tcW w:w="1692" w:type="dxa"/>
            <w:vAlign w:val="top"/>
          </w:tcPr>
          <w:p>
            <w:pPr>
              <w:pStyle w:val="6"/>
              <w:spacing w:before="92" w:line="221" w:lineRule="auto"/>
              <w:ind w:left="797"/>
              <w:rPr>
                <w:sz w:val="16"/>
                <w:szCs w:val="16"/>
              </w:rPr>
            </w:pPr>
            <w:r>
              <w:rPr>
                <w:sz w:val="16"/>
                <w:szCs w:val="16"/>
              </w:rPr>
              <w:t>2</w:t>
            </w:r>
          </w:p>
        </w:tc>
      </w:tr>
    </w:tbl>
    <w:p>
      <w:pPr>
        <w:spacing w:before="72" w:line="244" w:lineRule="auto"/>
        <w:ind w:left="398" w:hanging="209"/>
        <w:rPr>
          <w:rFonts w:ascii="宋体" w:hAnsi="宋体" w:eastAsia="宋体" w:cs="宋体"/>
          <w:sz w:val="16"/>
          <w:szCs w:val="16"/>
        </w:rPr>
      </w:pPr>
      <w:r>
        <w:rPr>
          <w:rFonts w:ascii="宋体" w:hAnsi="宋体" w:eastAsia="宋体" w:cs="宋体"/>
          <w:spacing w:val="-3"/>
          <w:sz w:val="16"/>
          <w:szCs w:val="16"/>
        </w:rPr>
        <w:t>注：住宅和其他使用功能合建的建筑，计算室外消防用水量时火灾延续时间应根据</w:t>
      </w:r>
      <w:r>
        <w:rPr>
          <w:rFonts w:ascii="宋体" w:hAnsi="宋体" w:eastAsia="宋体" w:cs="宋体"/>
          <w:spacing w:val="-2"/>
          <w:sz w:val="16"/>
          <w:szCs w:val="16"/>
        </w:rPr>
        <w:t>建筑的总高度和建筑规模按公共建筑的规定执行。</w:t>
      </w:r>
    </w:p>
    <w:p>
      <w:pPr>
        <w:spacing w:before="89" w:line="219" w:lineRule="auto"/>
        <w:rPr>
          <w:rFonts w:ascii="宋体" w:hAnsi="宋体" w:eastAsia="宋体" w:cs="宋体"/>
          <w:sz w:val="21"/>
          <w:szCs w:val="21"/>
        </w:rPr>
      </w:pPr>
      <w:r>
        <w:rPr>
          <w:rFonts w:ascii="宋体" w:hAnsi="宋体" w:eastAsia="宋体" w:cs="宋体"/>
          <w:spacing w:val="-18"/>
          <w:sz w:val="21"/>
          <w:szCs w:val="21"/>
        </w:rPr>
        <w:t>5.2.3建筑物室内消火栓给水系统的用水量不应小于表5.2.3的规定。</w:t>
      </w:r>
    </w:p>
    <w:p>
      <w:pPr>
        <w:spacing w:line="219" w:lineRule="auto"/>
        <w:rPr>
          <w:rFonts w:ascii="宋体" w:hAnsi="宋体" w:eastAsia="宋体" w:cs="宋体"/>
          <w:sz w:val="21"/>
          <w:szCs w:val="21"/>
        </w:rPr>
        <w:sectPr>
          <w:footerReference r:id="rId32" w:type="default"/>
          <w:pgSz w:w="8280" w:h="11850"/>
          <w:pgMar w:top="1007" w:right="1210" w:bottom="1310" w:left="1210" w:header="0" w:footer="1037" w:gutter="0"/>
          <w:cols w:space="720" w:num="1"/>
        </w:sectPr>
      </w:pPr>
    </w:p>
    <w:p>
      <w:pPr>
        <w:pStyle w:val="2"/>
        <w:spacing w:line="275" w:lineRule="auto"/>
      </w:pPr>
    </w:p>
    <w:p>
      <w:pPr>
        <w:spacing w:before="59" w:line="221" w:lineRule="auto"/>
        <w:ind w:left="1077"/>
        <w:rPr>
          <w:rFonts w:ascii="黑体" w:hAnsi="黑体" w:eastAsia="黑体" w:cs="黑体"/>
          <w:sz w:val="18"/>
          <w:szCs w:val="18"/>
        </w:rPr>
      </w:pPr>
      <w:r>
        <w:rPr>
          <w:rFonts w:ascii="黑体" w:hAnsi="黑体" w:eastAsia="黑体" w:cs="黑体"/>
          <w:b/>
          <w:bCs/>
          <w:spacing w:val="1"/>
          <w:sz w:val="18"/>
          <w:szCs w:val="18"/>
        </w:rPr>
        <w:t>表5.2.3建筑物室内消火栓给水系统的用水量</w:t>
      </w:r>
    </w:p>
    <w:p>
      <w:pPr>
        <w:spacing w:line="56" w:lineRule="exact"/>
      </w:pPr>
    </w:p>
    <w:tbl>
      <w:tblPr>
        <w:tblStyle w:val="5"/>
        <w:tblW w:w="5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4"/>
        <w:gridCol w:w="399"/>
        <w:gridCol w:w="1278"/>
        <w:gridCol w:w="1427"/>
        <w:gridCol w:w="798"/>
        <w:gridCol w:w="79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071" w:type="dxa"/>
            <w:gridSpan w:val="3"/>
            <w:vAlign w:val="top"/>
          </w:tcPr>
          <w:p>
            <w:pPr>
              <w:spacing w:line="255" w:lineRule="auto"/>
              <w:rPr>
                <w:rFonts w:ascii="Arial"/>
                <w:sz w:val="21"/>
              </w:rPr>
            </w:pPr>
          </w:p>
          <w:p>
            <w:pPr>
              <w:pStyle w:val="6"/>
              <w:spacing w:before="56" w:line="220" w:lineRule="auto"/>
              <w:ind w:left="604"/>
            </w:pPr>
            <w:r>
              <w:rPr>
                <w:spacing w:val="-2"/>
              </w:rPr>
              <w:t>建筑物名称</w:t>
            </w:r>
          </w:p>
        </w:tc>
        <w:tc>
          <w:tcPr>
            <w:tcW w:w="1427" w:type="dxa"/>
            <w:vAlign w:val="top"/>
          </w:tcPr>
          <w:p>
            <w:pPr>
              <w:pStyle w:val="6"/>
              <w:spacing w:before="90" w:line="251" w:lineRule="auto"/>
              <w:ind w:left="13" w:firstLine="9"/>
              <w:jc w:val="both"/>
            </w:pPr>
            <w:r>
              <w:rPr>
                <w:spacing w:val="3"/>
              </w:rPr>
              <w:t>高度h(m)、层数、</w:t>
            </w:r>
            <w:r>
              <w:rPr>
                <w:spacing w:val="-8"/>
              </w:rPr>
              <w:t>体积V(m³)、座位数n(个)、火灾危险性</w:t>
            </w:r>
          </w:p>
        </w:tc>
        <w:tc>
          <w:tcPr>
            <w:tcW w:w="798" w:type="dxa"/>
            <w:vAlign w:val="top"/>
          </w:tcPr>
          <w:p>
            <w:pPr>
              <w:pStyle w:val="6"/>
              <w:spacing w:before="112" w:line="219" w:lineRule="auto"/>
              <w:ind w:left="136"/>
            </w:pPr>
            <w:r>
              <w:rPr>
                <w:spacing w:val="-3"/>
              </w:rPr>
              <w:t>消火栓</w:t>
            </w:r>
          </w:p>
          <w:p>
            <w:pPr>
              <w:pStyle w:val="6"/>
              <w:spacing w:before="9" w:line="221" w:lineRule="auto"/>
              <w:ind w:left="56"/>
            </w:pPr>
            <w:r>
              <w:rPr>
                <w:spacing w:val="-2"/>
              </w:rPr>
              <w:t>设计流量</w:t>
            </w:r>
          </w:p>
          <w:p>
            <w:pPr>
              <w:pStyle w:val="6"/>
              <w:spacing w:before="18" w:line="222" w:lineRule="auto"/>
              <w:ind w:left="176"/>
            </w:pPr>
            <w:r>
              <w:rPr>
                <w:spacing w:val="-6"/>
              </w:rPr>
              <w:t>(L/s)</w:t>
            </w:r>
          </w:p>
        </w:tc>
        <w:tc>
          <w:tcPr>
            <w:tcW w:w="799" w:type="dxa"/>
            <w:vAlign w:val="top"/>
          </w:tcPr>
          <w:p>
            <w:pPr>
              <w:pStyle w:val="6"/>
              <w:spacing w:before="92" w:line="219" w:lineRule="auto"/>
              <w:ind w:left="58"/>
            </w:pPr>
            <w:r>
              <w:rPr>
                <w:spacing w:val="5"/>
              </w:rPr>
              <w:t>同时使用</w:t>
            </w:r>
          </w:p>
          <w:p>
            <w:pPr>
              <w:pStyle w:val="6"/>
              <w:spacing w:before="28" w:line="219" w:lineRule="auto"/>
              <w:jc w:val="right"/>
            </w:pPr>
            <w:r>
              <w:rPr>
                <w:spacing w:val="-20"/>
              </w:rPr>
              <w:t>消</w:t>
            </w:r>
            <w:r>
              <w:rPr>
                <w:spacing w:val="-19"/>
              </w:rPr>
              <w:t>防水枪</w:t>
            </w:r>
            <w:r>
              <w:rPr>
                <w:spacing w:val="-8"/>
              </w:rPr>
              <w:t>数</w:t>
            </w:r>
          </w:p>
          <w:p>
            <w:pPr>
              <w:pStyle w:val="6"/>
              <w:spacing w:before="8" w:line="220" w:lineRule="auto"/>
              <w:ind w:left="228"/>
            </w:pPr>
            <w:r>
              <w:rPr>
                <w:spacing w:val="12"/>
              </w:rPr>
              <w:t>(支)</w:t>
            </w:r>
          </w:p>
        </w:tc>
        <w:tc>
          <w:tcPr>
            <w:tcW w:w="754" w:type="dxa"/>
            <w:vAlign w:val="top"/>
          </w:tcPr>
          <w:p>
            <w:pPr>
              <w:pStyle w:val="6"/>
              <w:spacing w:before="92" w:line="219" w:lineRule="auto"/>
              <w:ind w:left="29"/>
            </w:pPr>
            <w:r>
              <w:rPr>
                <w:spacing w:val="-2"/>
              </w:rPr>
              <w:t>每根竖管</w:t>
            </w:r>
          </w:p>
          <w:p>
            <w:pPr>
              <w:pStyle w:val="6"/>
              <w:spacing w:before="18" w:line="219" w:lineRule="auto"/>
              <w:ind w:left="29"/>
            </w:pPr>
            <w:r>
              <w:rPr>
                <w:spacing w:val="-2"/>
              </w:rPr>
              <w:t>最小流量</w:t>
            </w:r>
          </w:p>
          <w:p>
            <w:pPr>
              <w:pStyle w:val="6"/>
              <w:spacing w:before="30" w:line="222" w:lineRule="auto"/>
              <w:ind w:left="159"/>
            </w:pPr>
            <w:r>
              <w:rPr>
                <w:spacing w:val="-6"/>
              </w:rPr>
              <w:t>(L/s)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6"/>
              <w:spacing w:before="55" w:line="213" w:lineRule="auto"/>
              <w:ind w:left="14" w:right="8"/>
            </w:pPr>
            <w:r>
              <w:rPr>
                <w:spacing w:val="10"/>
              </w:rPr>
              <w:t>民用</w:t>
            </w:r>
            <w:r>
              <w:rPr>
                <w:spacing w:val="-3"/>
              </w:rPr>
              <w:t>建筑</w:t>
            </w:r>
          </w:p>
        </w:tc>
        <w:tc>
          <w:tcPr>
            <w:tcW w:w="399" w:type="dxa"/>
            <w:vMerge w:val="restart"/>
            <w:tcBorders>
              <w:bottom w:val="nil"/>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pStyle w:val="6"/>
              <w:spacing w:before="55" w:line="222" w:lineRule="auto"/>
              <w:ind w:left="10" w:right="22"/>
            </w:pPr>
            <w:r>
              <w:rPr>
                <w:spacing w:val="-4"/>
              </w:rPr>
              <w:t>单层</w:t>
            </w:r>
            <w:r>
              <w:rPr>
                <w:spacing w:val="8"/>
              </w:rPr>
              <w:t>及多</w:t>
            </w:r>
          </w:p>
          <w:p>
            <w:pPr>
              <w:pStyle w:val="6"/>
              <w:spacing w:before="2" w:line="242" w:lineRule="auto"/>
              <w:ind w:left="10" w:right="34" w:firstLine="10"/>
            </w:pPr>
            <w:r>
              <w:rPr>
                <w:spacing w:val="-4"/>
              </w:rPr>
              <w:t>层建</w:t>
            </w:r>
            <w:r>
              <w:t>筑</w:t>
            </w:r>
          </w:p>
        </w:tc>
        <w:tc>
          <w:tcPr>
            <w:tcW w:w="1278" w:type="dxa"/>
            <w:vMerge w:val="restart"/>
            <w:tcBorders>
              <w:bottom w:val="nil"/>
            </w:tcBorders>
            <w:vAlign w:val="top"/>
          </w:tcPr>
          <w:p>
            <w:pPr>
              <w:pStyle w:val="6"/>
              <w:spacing w:before="226" w:line="219" w:lineRule="auto"/>
              <w:ind w:left="2"/>
            </w:pPr>
            <w:r>
              <w:rPr>
                <w:spacing w:val="-1"/>
              </w:rPr>
              <w:t>科研楼、试验楼</w:t>
            </w:r>
          </w:p>
        </w:tc>
        <w:tc>
          <w:tcPr>
            <w:tcW w:w="1427" w:type="dxa"/>
            <w:vAlign w:val="top"/>
          </w:tcPr>
          <w:p>
            <w:pPr>
              <w:pStyle w:val="6"/>
              <w:spacing w:before="82" w:line="236" w:lineRule="auto"/>
              <w:ind w:left="363"/>
            </w:pPr>
            <w:r>
              <w:rPr>
                <w:spacing w:val="-1"/>
              </w:rPr>
              <w:t>V≤10000</w:t>
            </w:r>
          </w:p>
        </w:tc>
        <w:tc>
          <w:tcPr>
            <w:tcW w:w="798" w:type="dxa"/>
            <w:vAlign w:val="top"/>
          </w:tcPr>
          <w:p>
            <w:pPr>
              <w:pStyle w:val="6"/>
              <w:spacing w:before="84" w:line="234" w:lineRule="auto"/>
              <w:ind w:left="306"/>
            </w:pPr>
            <w:r>
              <w:rPr>
                <w:spacing w:val="-5"/>
              </w:rPr>
              <w:t>10</w:t>
            </w:r>
          </w:p>
        </w:tc>
        <w:tc>
          <w:tcPr>
            <w:tcW w:w="799" w:type="dxa"/>
            <w:vAlign w:val="top"/>
          </w:tcPr>
          <w:p>
            <w:pPr>
              <w:pStyle w:val="6"/>
              <w:spacing w:before="84" w:line="234" w:lineRule="auto"/>
              <w:ind w:left="348"/>
            </w:pPr>
            <w:r>
              <w:t>2</w:t>
            </w:r>
          </w:p>
        </w:tc>
        <w:tc>
          <w:tcPr>
            <w:tcW w:w="754" w:type="dxa"/>
            <w:vAlign w:val="top"/>
          </w:tcPr>
          <w:p>
            <w:pPr>
              <w:pStyle w:val="6"/>
              <w:spacing w:before="84" w:line="234"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85" w:line="233" w:lineRule="auto"/>
              <w:ind w:left="403"/>
            </w:pPr>
            <w:r>
              <w:rPr>
                <w:spacing w:val="-1"/>
              </w:rPr>
              <w:t>V&gt;10000</w:t>
            </w:r>
          </w:p>
        </w:tc>
        <w:tc>
          <w:tcPr>
            <w:tcW w:w="798" w:type="dxa"/>
            <w:vAlign w:val="top"/>
          </w:tcPr>
          <w:p>
            <w:pPr>
              <w:pStyle w:val="6"/>
              <w:spacing w:before="85" w:line="233" w:lineRule="auto"/>
              <w:ind w:left="306"/>
            </w:pPr>
            <w:r>
              <w:rPr>
                <w:spacing w:val="-5"/>
              </w:rPr>
              <w:t>15</w:t>
            </w:r>
          </w:p>
        </w:tc>
        <w:tc>
          <w:tcPr>
            <w:tcW w:w="799" w:type="dxa"/>
            <w:vAlign w:val="top"/>
          </w:tcPr>
          <w:p>
            <w:pPr>
              <w:pStyle w:val="6"/>
              <w:spacing w:before="85" w:line="233" w:lineRule="auto"/>
              <w:ind w:left="348"/>
            </w:pPr>
            <w:r>
              <w:t>3</w:t>
            </w:r>
          </w:p>
        </w:tc>
        <w:tc>
          <w:tcPr>
            <w:tcW w:w="754" w:type="dxa"/>
            <w:vAlign w:val="top"/>
          </w:tcPr>
          <w:p>
            <w:pPr>
              <w:pStyle w:val="6"/>
              <w:spacing w:before="85" w:line="233"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pStyle w:val="6"/>
              <w:spacing w:before="86" w:line="226" w:lineRule="auto"/>
              <w:ind w:left="2" w:firstLine="9"/>
              <w:jc w:val="both"/>
            </w:pPr>
            <w:r>
              <w:rPr>
                <w:spacing w:val="-14"/>
              </w:rPr>
              <w:t>车站、码头、机场</w:t>
            </w:r>
            <w:r>
              <w:rPr>
                <w:spacing w:val="-12"/>
              </w:rPr>
              <w:t>的候车(船、机)楼</w:t>
            </w:r>
            <w:r>
              <w:rPr>
                <w:spacing w:val="-2"/>
              </w:rPr>
              <w:t>和展览建筑(包括</w:t>
            </w:r>
            <w:r>
              <w:rPr>
                <w:spacing w:val="1"/>
              </w:rPr>
              <w:t>博物馆)等</w:t>
            </w:r>
          </w:p>
        </w:tc>
        <w:tc>
          <w:tcPr>
            <w:tcW w:w="1427" w:type="dxa"/>
            <w:vAlign w:val="top"/>
          </w:tcPr>
          <w:p>
            <w:pPr>
              <w:pStyle w:val="6"/>
              <w:spacing w:before="83" w:line="234" w:lineRule="auto"/>
              <w:ind w:left="153"/>
            </w:pPr>
            <w:r>
              <w:rPr>
                <w:spacing w:val="-1"/>
              </w:rPr>
              <w:t>5000&lt;V≤25000</w:t>
            </w:r>
          </w:p>
        </w:tc>
        <w:tc>
          <w:tcPr>
            <w:tcW w:w="798" w:type="dxa"/>
            <w:vAlign w:val="top"/>
          </w:tcPr>
          <w:p>
            <w:pPr>
              <w:pStyle w:val="6"/>
              <w:spacing w:before="85" w:line="232" w:lineRule="auto"/>
              <w:ind w:left="306"/>
            </w:pPr>
            <w:r>
              <w:rPr>
                <w:spacing w:val="-5"/>
              </w:rPr>
              <w:t>10</w:t>
            </w:r>
          </w:p>
        </w:tc>
        <w:tc>
          <w:tcPr>
            <w:tcW w:w="799" w:type="dxa"/>
            <w:vAlign w:val="top"/>
          </w:tcPr>
          <w:p>
            <w:pPr>
              <w:pStyle w:val="6"/>
              <w:spacing w:before="85" w:line="232" w:lineRule="auto"/>
              <w:ind w:left="348"/>
            </w:pPr>
            <w:r>
              <w:t>2</w:t>
            </w:r>
          </w:p>
        </w:tc>
        <w:tc>
          <w:tcPr>
            <w:tcW w:w="754" w:type="dxa"/>
            <w:vAlign w:val="top"/>
          </w:tcPr>
          <w:p>
            <w:pPr>
              <w:pStyle w:val="6"/>
              <w:spacing w:before="85" w:line="232"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bottom w:val="nil"/>
            </w:tcBorders>
            <w:vAlign w:val="top"/>
          </w:tcPr>
          <w:p>
            <w:pPr>
              <w:rPr>
                <w:rFonts w:ascii="Arial"/>
                <w:sz w:val="21"/>
              </w:rPr>
            </w:pPr>
          </w:p>
        </w:tc>
        <w:tc>
          <w:tcPr>
            <w:tcW w:w="1427" w:type="dxa"/>
            <w:vAlign w:val="top"/>
          </w:tcPr>
          <w:p>
            <w:pPr>
              <w:pStyle w:val="6"/>
              <w:spacing w:before="84" w:line="234" w:lineRule="auto"/>
              <w:ind w:left="113"/>
            </w:pPr>
            <w:r>
              <w:rPr>
                <w:spacing w:val="-1"/>
              </w:rPr>
              <w:t>25000&lt;V≤50000</w:t>
            </w:r>
          </w:p>
        </w:tc>
        <w:tc>
          <w:tcPr>
            <w:tcW w:w="798" w:type="dxa"/>
            <w:vAlign w:val="top"/>
          </w:tcPr>
          <w:p>
            <w:pPr>
              <w:pStyle w:val="6"/>
              <w:spacing w:before="86" w:line="232" w:lineRule="auto"/>
              <w:ind w:left="306"/>
            </w:pPr>
            <w:r>
              <w:rPr>
                <w:spacing w:val="-5"/>
              </w:rPr>
              <w:t>15</w:t>
            </w:r>
          </w:p>
        </w:tc>
        <w:tc>
          <w:tcPr>
            <w:tcW w:w="799" w:type="dxa"/>
            <w:vAlign w:val="top"/>
          </w:tcPr>
          <w:p>
            <w:pPr>
              <w:pStyle w:val="6"/>
              <w:spacing w:before="86" w:line="232" w:lineRule="auto"/>
              <w:ind w:left="348"/>
            </w:pPr>
            <w:r>
              <w:t>3</w:t>
            </w:r>
          </w:p>
        </w:tc>
        <w:tc>
          <w:tcPr>
            <w:tcW w:w="754" w:type="dxa"/>
            <w:vAlign w:val="top"/>
          </w:tcPr>
          <w:p>
            <w:pPr>
              <w:pStyle w:val="6"/>
              <w:spacing w:before="86" w:line="232"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86" w:line="231" w:lineRule="auto"/>
              <w:ind w:left="403"/>
            </w:pPr>
            <w:r>
              <w:rPr>
                <w:spacing w:val="-1"/>
              </w:rPr>
              <w:t>V&gt;50000</w:t>
            </w:r>
          </w:p>
        </w:tc>
        <w:tc>
          <w:tcPr>
            <w:tcW w:w="798" w:type="dxa"/>
            <w:vAlign w:val="top"/>
          </w:tcPr>
          <w:p>
            <w:pPr>
              <w:pStyle w:val="6"/>
              <w:spacing w:before="86" w:line="231" w:lineRule="auto"/>
              <w:ind w:left="306"/>
            </w:pPr>
            <w:r>
              <w:rPr>
                <w:spacing w:val="-3"/>
              </w:rPr>
              <w:t>20</w:t>
            </w:r>
          </w:p>
        </w:tc>
        <w:tc>
          <w:tcPr>
            <w:tcW w:w="799" w:type="dxa"/>
            <w:vAlign w:val="top"/>
          </w:tcPr>
          <w:p>
            <w:pPr>
              <w:pStyle w:val="6"/>
              <w:spacing w:before="86" w:line="231" w:lineRule="auto"/>
              <w:ind w:left="348"/>
            </w:pPr>
            <w:r>
              <w:t>4</w:t>
            </w:r>
          </w:p>
        </w:tc>
        <w:tc>
          <w:tcPr>
            <w:tcW w:w="754" w:type="dxa"/>
            <w:vAlign w:val="top"/>
          </w:tcPr>
          <w:p>
            <w:pPr>
              <w:pStyle w:val="6"/>
              <w:spacing w:before="86" w:line="231"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spacing w:line="282" w:lineRule="auto"/>
              <w:rPr>
                <w:rFonts w:ascii="Arial"/>
                <w:sz w:val="21"/>
              </w:rPr>
            </w:pPr>
          </w:p>
          <w:p>
            <w:pPr>
              <w:pStyle w:val="6"/>
              <w:spacing w:before="55" w:line="242" w:lineRule="auto"/>
              <w:ind w:left="2" w:firstLine="9"/>
              <w:jc w:val="both"/>
            </w:pPr>
            <w:r>
              <w:rPr>
                <w:spacing w:val="-21"/>
                <w:w w:val="99"/>
              </w:rPr>
              <w:t>剧场、电影院、俱</w:t>
            </w:r>
            <w:r>
              <w:rPr>
                <w:spacing w:val="-20"/>
                <w:sz w:val="16"/>
                <w:szCs w:val="16"/>
              </w:rPr>
              <w:t>乐部、会堂、礼堂、</w:t>
            </w:r>
            <w:r>
              <w:rPr>
                <w:spacing w:val="-9"/>
              </w:rPr>
              <w:t>体育馆等</w:t>
            </w:r>
          </w:p>
        </w:tc>
        <w:tc>
          <w:tcPr>
            <w:tcW w:w="1427" w:type="dxa"/>
            <w:vAlign w:val="top"/>
          </w:tcPr>
          <w:p>
            <w:pPr>
              <w:pStyle w:val="6"/>
              <w:spacing w:before="85" w:line="232" w:lineRule="auto"/>
              <w:ind w:left="233"/>
            </w:pPr>
            <w:r>
              <w:rPr>
                <w:spacing w:val="-1"/>
              </w:rPr>
              <w:t>800&lt;n≤1200</w:t>
            </w:r>
          </w:p>
        </w:tc>
        <w:tc>
          <w:tcPr>
            <w:tcW w:w="798" w:type="dxa"/>
            <w:vAlign w:val="top"/>
          </w:tcPr>
          <w:p>
            <w:pPr>
              <w:pStyle w:val="6"/>
              <w:spacing w:before="87" w:line="230" w:lineRule="auto"/>
              <w:ind w:left="306"/>
            </w:pPr>
            <w:r>
              <w:rPr>
                <w:spacing w:val="-5"/>
              </w:rPr>
              <w:t>10</w:t>
            </w:r>
          </w:p>
        </w:tc>
        <w:tc>
          <w:tcPr>
            <w:tcW w:w="799" w:type="dxa"/>
            <w:vAlign w:val="top"/>
          </w:tcPr>
          <w:p>
            <w:pPr>
              <w:pStyle w:val="6"/>
              <w:spacing w:before="87" w:line="230" w:lineRule="auto"/>
              <w:ind w:left="348"/>
            </w:pPr>
            <w:r>
              <w:t>2</w:t>
            </w:r>
          </w:p>
        </w:tc>
        <w:tc>
          <w:tcPr>
            <w:tcW w:w="754" w:type="dxa"/>
            <w:vAlign w:val="top"/>
          </w:tcPr>
          <w:p>
            <w:pPr>
              <w:pStyle w:val="6"/>
              <w:spacing w:before="87" w:line="230"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bottom w:val="nil"/>
            </w:tcBorders>
            <w:vAlign w:val="top"/>
          </w:tcPr>
          <w:p>
            <w:pPr>
              <w:rPr>
                <w:rFonts w:ascii="Arial"/>
                <w:sz w:val="21"/>
              </w:rPr>
            </w:pPr>
          </w:p>
        </w:tc>
        <w:tc>
          <w:tcPr>
            <w:tcW w:w="1427" w:type="dxa"/>
            <w:vAlign w:val="top"/>
          </w:tcPr>
          <w:p>
            <w:pPr>
              <w:pStyle w:val="6"/>
              <w:spacing w:before="86" w:line="232" w:lineRule="auto"/>
              <w:ind w:left="193"/>
            </w:pPr>
            <w:r>
              <w:rPr>
                <w:spacing w:val="-2"/>
              </w:rPr>
              <w:t>1200&lt;n≤5000</w:t>
            </w:r>
          </w:p>
        </w:tc>
        <w:tc>
          <w:tcPr>
            <w:tcW w:w="798" w:type="dxa"/>
            <w:vAlign w:val="top"/>
          </w:tcPr>
          <w:p>
            <w:pPr>
              <w:pStyle w:val="6"/>
              <w:spacing w:before="88" w:line="230" w:lineRule="auto"/>
              <w:ind w:left="306"/>
            </w:pPr>
            <w:r>
              <w:rPr>
                <w:spacing w:val="-5"/>
              </w:rPr>
              <w:t>15</w:t>
            </w:r>
          </w:p>
        </w:tc>
        <w:tc>
          <w:tcPr>
            <w:tcW w:w="799" w:type="dxa"/>
            <w:vAlign w:val="top"/>
          </w:tcPr>
          <w:p>
            <w:pPr>
              <w:pStyle w:val="6"/>
              <w:spacing w:before="88" w:line="230" w:lineRule="auto"/>
              <w:ind w:left="348"/>
            </w:pPr>
            <w:r>
              <w:t>3</w:t>
            </w:r>
          </w:p>
        </w:tc>
        <w:tc>
          <w:tcPr>
            <w:tcW w:w="754" w:type="dxa"/>
            <w:vAlign w:val="top"/>
          </w:tcPr>
          <w:p>
            <w:pPr>
              <w:pStyle w:val="6"/>
              <w:spacing w:before="88" w:line="230"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bottom w:val="nil"/>
            </w:tcBorders>
            <w:vAlign w:val="top"/>
          </w:tcPr>
          <w:p>
            <w:pPr>
              <w:rPr>
                <w:rFonts w:ascii="Arial"/>
                <w:sz w:val="21"/>
              </w:rPr>
            </w:pPr>
          </w:p>
        </w:tc>
        <w:tc>
          <w:tcPr>
            <w:tcW w:w="1427" w:type="dxa"/>
            <w:vAlign w:val="top"/>
          </w:tcPr>
          <w:p>
            <w:pPr>
              <w:pStyle w:val="6"/>
              <w:spacing w:before="86" w:line="231" w:lineRule="auto"/>
              <w:ind w:left="153"/>
            </w:pPr>
            <w:r>
              <w:rPr>
                <w:spacing w:val="-1"/>
              </w:rPr>
              <w:t>5000&lt;n≤10000</w:t>
            </w:r>
          </w:p>
        </w:tc>
        <w:tc>
          <w:tcPr>
            <w:tcW w:w="798" w:type="dxa"/>
            <w:vAlign w:val="top"/>
          </w:tcPr>
          <w:p>
            <w:pPr>
              <w:pStyle w:val="6"/>
              <w:spacing w:before="88" w:line="229" w:lineRule="auto"/>
              <w:ind w:left="306"/>
            </w:pPr>
            <w:r>
              <w:rPr>
                <w:spacing w:val="-3"/>
              </w:rPr>
              <w:t>20</w:t>
            </w:r>
          </w:p>
        </w:tc>
        <w:tc>
          <w:tcPr>
            <w:tcW w:w="799" w:type="dxa"/>
            <w:vAlign w:val="top"/>
          </w:tcPr>
          <w:p>
            <w:pPr>
              <w:pStyle w:val="6"/>
              <w:spacing w:before="88" w:line="229" w:lineRule="auto"/>
              <w:ind w:left="348"/>
            </w:pPr>
            <w:r>
              <w:t>4</w:t>
            </w:r>
          </w:p>
        </w:tc>
        <w:tc>
          <w:tcPr>
            <w:tcW w:w="754" w:type="dxa"/>
            <w:vAlign w:val="top"/>
          </w:tcPr>
          <w:p>
            <w:pPr>
              <w:pStyle w:val="6"/>
              <w:spacing w:before="88" w:line="229"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89" w:line="229" w:lineRule="auto"/>
              <w:ind w:left="403"/>
            </w:pPr>
            <w:r>
              <w:rPr>
                <w:spacing w:val="-1"/>
              </w:rPr>
              <w:t>n&gt;10000</w:t>
            </w:r>
          </w:p>
        </w:tc>
        <w:tc>
          <w:tcPr>
            <w:tcW w:w="798" w:type="dxa"/>
            <w:vAlign w:val="top"/>
          </w:tcPr>
          <w:p>
            <w:pPr>
              <w:pStyle w:val="6"/>
              <w:spacing w:before="89" w:line="229" w:lineRule="auto"/>
              <w:ind w:left="306"/>
            </w:pPr>
            <w:r>
              <w:rPr>
                <w:spacing w:val="-3"/>
              </w:rPr>
              <w:t>30</w:t>
            </w:r>
          </w:p>
        </w:tc>
        <w:tc>
          <w:tcPr>
            <w:tcW w:w="799" w:type="dxa"/>
            <w:vAlign w:val="top"/>
          </w:tcPr>
          <w:p>
            <w:pPr>
              <w:pStyle w:val="6"/>
              <w:spacing w:before="89" w:line="229" w:lineRule="auto"/>
              <w:ind w:left="348"/>
            </w:pPr>
            <w:r>
              <w:t>6</w:t>
            </w:r>
          </w:p>
        </w:tc>
        <w:tc>
          <w:tcPr>
            <w:tcW w:w="754" w:type="dxa"/>
            <w:vAlign w:val="top"/>
          </w:tcPr>
          <w:p>
            <w:pPr>
              <w:pStyle w:val="6"/>
              <w:spacing w:before="89" w:line="229"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spacing w:line="335" w:lineRule="auto"/>
              <w:rPr>
                <w:rFonts w:ascii="Arial"/>
                <w:sz w:val="21"/>
              </w:rPr>
            </w:pPr>
          </w:p>
          <w:p>
            <w:pPr>
              <w:pStyle w:val="6"/>
              <w:spacing w:before="55" w:line="221" w:lineRule="auto"/>
              <w:ind w:left="2"/>
            </w:pPr>
            <w:r>
              <w:rPr>
                <w:spacing w:val="-2"/>
              </w:rPr>
              <w:t>旅馆</w:t>
            </w:r>
          </w:p>
        </w:tc>
        <w:tc>
          <w:tcPr>
            <w:tcW w:w="1427" w:type="dxa"/>
            <w:vAlign w:val="top"/>
          </w:tcPr>
          <w:p>
            <w:pPr>
              <w:pStyle w:val="6"/>
              <w:spacing w:before="87" w:line="230" w:lineRule="auto"/>
              <w:ind w:left="153"/>
            </w:pPr>
            <w:r>
              <w:rPr>
                <w:spacing w:val="-1"/>
              </w:rPr>
              <w:t>5000&lt;V≤10000</w:t>
            </w:r>
          </w:p>
        </w:tc>
        <w:tc>
          <w:tcPr>
            <w:tcW w:w="798" w:type="dxa"/>
            <w:vAlign w:val="top"/>
          </w:tcPr>
          <w:p>
            <w:pPr>
              <w:pStyle w:val="6"/>
              <w:spacing w:before="89" w:line="228" w:lineRule="auto"/>
              <w:ind w:left="306"/>
            </w:pPr>
            <w:r>
              <w:rPr>
                <w:spacing w:val="-5"/>
              </w:rPr>
              <w:t>10</w:t>
            </w:r>
          </w:p>
        </w:tc>
        <w:tc>
          <w:tcPr>
            <w:tcW w:w="799" w:type="dxa"/>
            <w:vAlign w:val="top"/>
          </w:tcPr>
          <w:p>
            <w:pPr>
              <w:pStyle w:val="6"/>
              <w:spacing w:before="89" w:line="228" w:lineRule="auto"/>
              <w:ind w:left="348"/>
            </w:pPr>
            <w:r>
              <w:t>2</w:t>
            </w:r>
          </w:p>
        </w:tc>
        <w:tc>
          <w:tcPr>
            <w:tcW w:w="754" w:type="dxa"/>
            <w:vAlign w:val="top"/>
          </w:tcPr>
          <w:p>
            <w:pPr>
              <w:pStyle w:val="6"/>
              <w:spacing w:before="89" w:line="228"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bottom w:val="nil"/>
            </w:tcBorders>
            <w:vAlign w:val="top"/>
          </w:tcPr>
          <w:p>
            <w:pPr>
              <w:rPr>
                <w:rFonts w:ascii="Arial"/>
                <w:sz w:val="21"/>
              </w:rPr>
            </w:pPr>
          </w:p>
        </w:tc>
        <w:tc>
          <w:tcPr>
            <w:tcW w:w="1427" w:type="dxa"/>
            <w:vAlign w:val="top"/>
          </w:tcPr>
          <w:p>
            <w:pPr>
              <w:pStyle w:val="6"/>
              <w:spacing w:before="88" w:line="230" w:lineRule="auto"/>
              <w:ind w:left="113"/>
            </w:pPr>
            <w:r>
              <w:rPr>
                <w:spacing w:val="-2"/>
              </w:rPr>
              <w:t>10000&lt;V≤25000</w:t>
            </w:r>
          </w:p>
        </w:tc>
        <w:tc>
          <w:tcPr>
            <w:tcW w:w="798" w:type="dxa"/>
            <w:vAlign w:val="top"/>
          </w:tcPr>
          <w:p>
            <w:pPr>
              <w:pStyle w:val="6"/>
              <w:spacing w:before="90" w:line="228" w:lineRule="auto"/>
              <w:ind w:left="306"/>
            </w:pPr>
            <w:r>
              <w:rPr>
                <w:spacing w:val="-5"/>
              </w:rPr>
              <w:t>15</w:t>
            </w:r>
          </w:p>
        </w:tc>
        <w:tc>
          <w:tcPr>
            <w:tcW w:w="799" w:type="dxa"/>
            <w:vAlign w:val="top"/>
          </w:tcPr>
          <w:p>
            <w:pPr>
              <w:pStyle w:val="6"/>
              <w:spacing w:before="90" w:line="228" w:lineRule="auto"/>
              <w:ind w:left="348"/>
            </w:pPr>
            <w:r>
              <w:t>3</w:t>
            </w:r>
          </w:p>
        </w:tc>
        <w:tc>
          <w:tcPr>
            <w:tcW w:w="754" w:type="dxa"/>
            <w:vAlign w:val="top"/>
          </w:tcPr>
          <w:p>
            <w:pPr>
              <w:pStyle w:val="6"/>
              <w:spacing w:before="90" w:line="228"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89" w:line="227" w:lineRule="auto"/>
              <w:ind w:left="403"/>
            </w:pPr>
            <w:r>
              <w:rPr>
                <w:spacing w:val="-1"/>
              </w:rPr>
              <w:t>V&gt;25000</w:t>
            </w:r>
          </w:p>
        </w:tc>
        <w:tc>
          <w:tcPr>
            <w:tcW w:w="798" w:type="dxa"/>
            <w:vAlign w:val="top"/>
          </w:tcPr>
          <w:p>
            <w:pPr>
              <w:pStyle w:val="6"/>
              <w:spacing w:before="89" w:line="227" w:lineRule="auto"/>
              <w:ind w:left="306"/>
            </w:pPr>
            <w:r>
              <w:rPr>
                <w:spacing w:val="-3"/>
              </w:rPr>
              <w:t>20</w:t>
            </w:r>
          </w:p>
        </w:tc>
        <w:tc>
          <w:tcPr>
            <w:tcW w:w="799" w:type="dxa"/>
            <w:vAlign w:val="top"/>
          </w:tcPr>
          <w:p>
            <w:pPr>
              <w:pStyle w:val="6"/>
              <w:spacing w:before="89" w:line="227" w:lineRule="auto"/>
              <w:ind w:left="348"/>
            </w:pPr>
            <w:r>
              <w:t>4</w:t>
            </w:r>
          </w:p>
        </w:tc>
        <w:tc>
          <w:tcPr>
            <w:tcW w:w="754" w:type="dxa"/>
            <w:vAlign w:val="top"/>
          </w:tcPr>
          <w:p>
            <w:pPr>
              <w:pStyle w:val="6"/>
              <w:spacing w:before="89" w:line="227"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spacing w:line="246" w:lineRule="auto"/>
              <w:rPr>
                <w:rFonts w:ascii="Arial"/>
                <w:sz w:val="21"/>
              </w:rPr>
            </w:pPr>
          </w:p>
          <w:p>
            <w:pPr>
              <w:pStyle w:val="6"/>
              <w:spacing w:before="55" w:line="220" w:lineRule="auto"/>
              <w:ind w:left="2"/>
            </w:pPr>
            <w:r>
              <w:rPr>
                <w:spacing w:val="-12"/>
              </w:rPr>
              <w:t>商店、图书馆、档</w:t>
            </w:r>
            <w:r>
              <w:rPr>
                <w:spacing w:val="-3"/>
              </w:rPr>
              <w:t>案馆等</w:t>
            </w:r>
          </w:p>
        </w:tc>
        <w:tc>
          <w:tcPr>
            <w:tcW w:w="1427" w:type="dxa"/>
            <w:vAlign w:val="top"/>
          </w:tcPr>
          <w:p>
            <w:pPr>
              <w:pStyle w:val="6"/>
              <w:spacing w:before="89" w:line="228" w:lineRule="auto"/>
              <w:ind w:left="153"/>
            </w:pPr>
            <w:r>
              <w:rPr>
                <w:spacing w:val="-1"/>
              </w:rPr>
              <w:t>5000&lt;V≤10000</w:t>
            </w:r>
          </w:p>
        </w:tc>
        <w:tc>
          <w:tcPr>
            <w:tcW w:w="798" w:type="dxa"/>
            <w:vAlign w:val="top"/>
          </w:tcPr>
          <w:p>
            <w:pPr>
              <w:pStyle w:val="6"/>
              <w:spacing w:before="90" w:line="226" w:lineRule="auto"/>
              <w:ind w:left="306"/>
            </w:pPr>
            <w:r>
              <w:rPr>
                <w:spacing w:val="-5"/>
              </w:rPr>
              <w:t>15</w:t>
            </w:r>
          </w:p>
        </w:tc>
        <w:tc>
          <w:tcPr>
            <w:tcW w:w="799" w:type="dxa"/>
            <w:vAlign w:val="top"/>
          </w:tcPr>
          <w:p>
            <w:pPr>
              <w:pStyle w:val="6"/>
              <w:spacing w:before="90" w:line="226" w:lineRule="auto"/>
              <w:ind w:left="348"/>
            </w:pPr>
            <w:r>
              <w:t>3</w:t>
            </w:r>
          </w:p>
        </w:tc>
        <w:tc>
          <w:tcPr>
            <w:tcW w:w="754" w:type="dxa"/>
            <w:vAlign w:val="top"/>
          </w:tcPr>
          <w:p>
            <w:pPr>
              <w:pStyle w:val="6"/>
              <w:spacing w:before="90" w:line="226"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bottom w:val="nil"/>
            </w:tcBorders>
            <w:vAlign w:val="top"/>
          </w:tcPr>
          <w:p>
            <w:pPr>
              <w:rPr>
                <w:rFonts w:ascii="Arial"/>
                <w:sz w:val="21"/>
              </w:rPr>
            </w:pPr>
          </w:p>
        </w:tc>
        <w:tc>
          <w:tcPr>
            <w:tcW w:w="1427" w:type="dxa"/>
            <w:vAlign w:val="top"/>
          </w:tcPr>
          <w:p>
            <w:pPr>
              <w:pStyle w:val="6"/>
              <w:spacing w:before="90" w:line="228" w:lineRule="auto"/>
              <w:ind w:left="113"/>
            </w:pPr>
            <w:r>
              <w:rPr>
                <w:spacing w:val="-2"/>
              </w:rPr>
              <w:t>10000&lt;V≤25000</w:t>
            </w:r>
          </w:p>
        </w:tc>
        <w:tc>
          <w:tcPr>
            <w:tcW w:w="798" w:type="dxa"/>
            <w:vAlign w:val="top"/>
          </w:tcPr>
          <w:p>
            <w:pPr>
              <w:pStyle w:val="6"/>
              <w:spacing w:before="91" w:line="226" w:lineRule="auto"/>
              <w:ind w:left="306"/>
            </w:pPr>
            <w:r>
              <w:rPr>
                <w:spacing w:val="-3"/>
              </w:rPr>
              <w:t>25</w:t>
            </w:r>
          </w:p>
        </w:tc>
        <w:tc>
          <w:tcPr>
            <w:tcW w:w="799" w:type="dxa"/>
            <w:vAlign w:val="top"/>
          </w:tcPr>
          <w:p>
            <w:pPr>
              <w:pStyle w:val="6"/>
              <w:spacing w:before="91" w:line="226" w:lineRule="auto"/>
              <w:ind w:left="348"/>
            </w:pPr>
            <w:r>
              <w:t>5</w:t>
            </w:r>
          </w:p>
        </w:tc>
        <w:tc>
          <w:tcPr>
            <w:tcW w:w="754" w:type="dxa"/>
            <w:vAlign w:val="top"/>
          </w:tcPr>
          <w:p>
            <w:pPr>
              <w:pStyle w:val="6"/>
              <w:spacing w:before="91" w:line="226"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91" w:line="225" w:lineRule="auto"/>
              <w:ind w:left="403"/>
            </w:pPr>
            <w:r>
              <w:rPr>
                <w:spacing w:val="-1"/>
              </w:rPr>
              <w:t>V&gt;25000</w:t>
            </w:r>
          </w:p>
        </w:tc>
        <w:tc>
          <w:tcPr>
            <w:tcW w:w="798" w:type="dxa"/>
            <w:vAlign w:val="top"/>
          </w:tcPr>
          <w:p>
            <w:pPr>
              <w:pStyle w:val="6"/>
              <w:spacing w:before="91" w:line="225" w:lineRule="auto"/>
              <w:ind w:left="306"/>
            </w:pPr>
            <w:r>
              <w:rPr>
                <w:spacing w:val="-2"/>
              </w:rPr>
              <w:t>40</w:t>
            </w:r>
          </w:p>
        </w:tc>
        <w:tc>
          <w:tcPr>
            <w:tcW w:w="799" w:type="dxa"/>
            <w:vAlign w:val="top"/>
          </w:tcPr>
          <w:p>
            <w:pPr>
              <w:pStyle w:val="6"/>
              <w:spacing w:before="91" w:line="225" w:lineRule="auto"/>
              <w:ind w:left="348"/>
            </w:pPr>
            <w:r>
              <w:t>8</w:t>
            </w:r>
          </w:p>
        </w:tc>
        <w:tc>
          <w:tcPr>
            <w:tcW w:w="754" w:type="dxa"/>
            <w:vAlign w:val="top"/>
          </w:tcPr>
          <w:p>
            <w:pPr>
              <w:pStyle w:val="6"/>
              <w:spacing w:before="91" w:line="225"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pStyle w:val="6"/>
              <w:spacing w:before="126" w:line="231" w:lineRule="auto"/>
              <w:ind w:left="2"/>
            </w:pPr>
            <w:r>
              <w:rPr>
                <w:spacing w:val="-22"/>
                <w:sz w:val="16"/>
                <w:szCs w:val="16"/>
              </w:rPr>
              <w:t>病房楼、</w:t>
            </w:r>
            <w:r>
              <w:rPr>
                <w:spacing w:val="-21"/>
                <w:sz w:val="16"/>
                <w:szCs w:val="16"/>
              </w:rPr>
              <w:t>门诊楼、</w:t>
            </w:r>
            <w:r>
              <w:rPr>
                <w:spacing w:val="-8"/>
                <w:sz w:val="16"/>
                <w:szCs w:val="16"/>
              </w:rPr>
              <w:t>老</w:t>
            </w:r>
            <w:r>
              <w:rPr>
                <w:spacing w:val="-1"/>
              </w:rPr>
              <w:t>年人照料设施等</w:t>
            </w:r>
          </w:p>
        </w:tc>
        <w:tc>
          <w:tcPr>
            <w:tcW w:w="1427" w:type="dxa"/>
            <w:vAlign w:val="top"/>
          </w:tcPr>
          <w:p>
            <w:pPr>
              <w:pStyle w:val="6"/>
              <w:spacing w:before="91" w:line="216" w:lineRule="auto"/>
              <w:ind w:left="153"/>
            </w:pPr>
            <w:r>
              <w:rPr>
                <w:spacing w:val="-1"/>
              </w:rPr>
              <w:t>5000&lt;V≤25000</w:t>
            </w:r>
          </w:p>
        </w:tc>
        <w:tc>
          <w:tcPr>
            <w:tcW w:w="798" w:type="dxa"/>
            <w:vAlign w:val="top"/>
          </w:tcPr>
          <w:p>
            <w:pPr>
              <w:pStyle w:val="6"/>
              <w:spacing w:before="92" w:line="214" w:lineRule="auto"/>
              <w:ind w:left="306"/>
            </w:pPr>
            <w:r>
              <w:rPr>
                <w:spacing w:val="-5"/>
              </w:rPr>
              <w:t>10</w:t>
            </w:r>
          </w:p>
        </w:tc>
        <w:tc>
          <w:tcPr>
            <w:tcW w:w="799" w:type="dxa"/>
            <w:vAlign w:val="top"/>
          </w:tcPr>
          <w:p>
            <w:pPr>
              <w:pStyle w:val="6"/>
              <w:spacing w:before="92" w:line="214" w:lineRule="auto"/>
              <w:ind w:left="348"/>
            </w:pPr>
            <w:r>
              <w:t>2</w:t>
            </w:r>
          </w:p>
        </w:tc>
        <w:tc>
          <w:tcPr>
            <w:tcW w:w="754" w:type="dxa"/>
            <w:vAlign w:val="top"/>
          </w:tcPr>
          <w:p>
            <w:pPr>
              <w:pStyle w:val="6"/>
              <w:spacing w:before="92" w:line="214"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92" w:line="225" w:lineRule="auto"/>
              <w:ind w:left="403"/>
            </w:pPr>
            <w:r>
              <w:rPr>
                <w:spacing w:val="-1"/>
              </w:rPr>
              <w:t>V&gt;25000</w:t>
            </w:r>
          </w:p>
        </w:tc>
        <w:tc>
          <w:tcPr>
            <w:tcW w:w="798" w:type="dxa"/>
            <w:vAlign w:val="top"/>
          </w:tcPr>
          <w:p>
            <w:pPr>
              <w:pStyle w:val="6"/>
              <w:spacing w:before="92" w:line="225" w:lineRule="auto"/>
              <w:ind w:left="306"/>
            </w:pPr>
            <w:r>
              <w:rPr>
                <w:spacing w:val="-5"/>
              </w:rPr>
              <w:t>15</w:t>
            </w:r>
          </w:p>
        </w:tc>
        <w:tc>
          <w:tcPr>
            <w:tcW w:w="799" w:type="dxa"/>
            <w:vAlign w:val="top"/>
          </w:tcPr>
          <w:p>
            <w:pPr>
              <w:pStyle w:val="6"/>
              <w:spacing w:before="92" w:line="225" w:lineRule="auto"/>
              <w:ind w:left="348"/>
            </w:pPr>
            <w:r>
              <w:t>3</w:t>
            </w:r>
          </w:p>
        </w:tc>
        <w:tc>
          <w:tcPr>
            <w:tcW w:w="754" w:type="dxa"/>
            <w:vAlign w:val="top"/>
          </w:tcPr>
          <w:p>
            <w:pPr>
              <w:pStyle w:val="6"/>
              <w:spacing w:before="92" w:line="225"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Align w:val="top"/>
          </w:tcPr>
          <w:p>
            <w:pPr>
              <w:pStyle w:val="6"/>
              <w:spacing w:before="74" w:line="226" w:lineRule="auto"/>
              <w:ind w:left="2" w:firstLine="9"/>
              <w:jc w:val="both"/>
            </w:pPr>
            <w:r>
              <w:rPr>
                <w:spacing w:val="-13"/>
              </w:rPr>
              <w:t>办公楼、教学楼、</w:t>
            </w:r>
            <w:r>
              <w:rPr>
                <w:spacing w:val="-20"/>
              </w:rPr>
              <w:t>公寓、宿舍、幼儿</w:t>
            </w:r>
            <w:r>
              <w:rPr>
                <w:spacing w:val="-7"/>
              </w:rPr>
              <w:t>园等其他建筑</w:t>
            </w:r>
          </w:p>
        </w:tc>
        <w:tc>
          <w:tcPr>
            <w:tcW w:w="1427" w:type="dxa"/>
            <w:vAlign w:val="top"/>
          </w:tcPr>
          <w:p>
            <w:pPr>
              <w:pStyle w:val="6"/>
              <w:spacing w:before="184" w:line="247" w:lineRule="auto"/>
              <w:ind w:left="323" w:right="259" w:hanging="90"/>
            </w:pPr>
            <w:r>
              <w:rPr>
                <w:spacing w:val="-2"/>
              </w:rPr>
              <w:t>高度超过15m</w:t>
            </w:r>
            <w:r>
              <w:rPr>
                <w:spacing w:val="-1"/>
              </w:rPr>
              <w:t>或V&gt;10000</w:t>
            </w:r>
          </w:p>
        </w:tc>
        <w:tc>
          <w:tcPr>
            <w:tcW w:w="798" w:type="dxa"/>
            <w:vAlign w:val="top"/>
          </w:tcPr>
          <w:p>
            <w:pPr>
              <w:pStyle w:val="6"/>
              <w:spacing w:before="292"/>
              <w:ind w:left="306"/>
            </w:pPr>
            <w:r>
              <w:rPr>
                <w:spacing w:val="-5"/>
              </w:rPr>
              <w:t>15</w:t>
            </w:r>
          </w:p>
        </w:tc>
        <w:tc>
          <w:tcPr>
            <w:tcW w:w="799" w:type="dxa"/>
            <w:vAlign w:val="top"/>
          </w:tcPr>
          <w:p>
            <w:pPr>
              <w:pStyle w:val="6"/>
              <w:spacing w:before="292"/>
              <w:ind w:left="348"/>
            </w:pPr>
            <w:r>
              <w:t>3</w:t>
            </w:r>
          </w:p>
        </w:tc>
        <w:tc>
          <w:tcPr>
            <w:tcW w:w="754" w:type="dxa"/>
            <w:vAlign w:val="top"/>
          </w:tcPr>
          <w:p>
            <w:pPr>
              <w:pStyle w:val="6"/>
              <w:spacing w:before="292"/>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tcBorders>
            <w:vAlign w:val="top"/>
          </w:tcPr>
          <w:p>
            <w:pPr>
              <w:rPr>
                <w:rFonts w:ascii="Arial"/>
                <w:sz w:val="21"/>
              </w:rPr>
            </w:pPr>
          </w:p>
        </w:tc>
        <w:tc>
          <w:tcPr>
            <w:tcW w:w="1278" w:type="dxa"/>
            <w:vAlign w:val="top"/>
          </w:tcPr>
          <w:p>
            <w:pPr>
              <w:pStyle w:val="6"/>
              <w:spacing w:before="77" w:line="221" w:lineRule="auto"/>
              <w:ind w:left="2"/>
            </w:pPr>
            <w:r>
              <w:rPr>
                <w:spacing w:val="-2"/>
              </w:rPr>
              <w:t>住宅</w:t>
            </w:r>
          </w:p>
        </w:tc>
        <w:tc>
          <w:tcPr>
            <w:tcW w:w="1427" w:type="dxa"/>
            <w:vAlign w:val="top"/>
          </w:tcPr>
          <w:p>
            <w:pPr>
              <w:pStyle w:val="6"/>
              <w:spacing w:before="91" w:line="225" w:lineRule="auto"/>
              <w:ind w:left="363"/>
            </w:pPr>
            <w:r>
              <w:rPr>
                <w:spacing w:val="-2"/>
              </w:rPr>
              <w:t>21&lt;h≤27</w:t>
            </w:r>
          </w:p>
        </w:tc>
        <w:tc>
          <w:tcPr>
            <w:tcW w:w="798" w:type="dxa"/>
            <w:vAlign w:val="top"/>
          </w:tcPr>
          <w:p>
            <w:pPr>
              <w:pStyle w:val="6"/>
              <w:spacing w:before="93" w:line="223" w:lineRule="auto"/>
              <w:ind w:left="346"/>
            </w:pPr>
            <w:r>
              <w:t>5</w:t>
            </w:r>
          </w:p>
        </w:tc>
        <w:tc>
          <w:tcPr>
            <w:tcW w:w="799" w:type="dxa"/>
            <w:vAlign w:val="top"/>
          </w:tcPr>
          <w:p>
            <w:pPr>
              <w:pStyle w:val="6"/>
              <w:spacing w:before="93" w:line="223" w:lineRule="auto"/>
              <w:ind w:left="348"/>
            </w:pPr>
            <w:r>
              <w:t>2</w:t>
            </w:r>
          </w:p>
        </w:tc>
        <w:tc>
          <w:tcPr>
            <w:tcW w:w="754" w:type="dxa"/>
            <w:vAlign w:val="top"/>
          </w:tcPr>
          <w:p>
            <w:pPr>
              <w:pStyle w:val="6"/>
              <w:spacing w:before="93" w:line="223" w:lineRule="auto"/>
              <w:ind w:left="329"/>
            </w:pPr>
            <w: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restart"/>
            <w:tcBorders>
              <w:bottom w:val="nil"/>
            </w:tcBorders>
            <w:vAlign w:val="top"/>
          </w:tcPr>
          <w:p>
            <w:pPr>
              <w:spacing w:line="264" w:lineRule="auto"/>
              <w:rPr>
                <w:rFonts w:ascii="Arial"/>
                <w:sz w:val="21"/>
              </w:rPr>
            </w:pPr>
          </w:p>
          <w:p>
            <w:pPr>
              <w:spacing w:line="265" w:lineRule="auto"/>
              <w:rPr>
                <w:rFonts w:ascii="Arial"/>
                <w:sz w:val="21"/>
              </w:rPr>
            </w:pPr>
          </w:p>
          <w:p>
            <w:pPr>
              <w:pStyle w:val="6"/>
              <w:spacing w:before="55" w:line="219" w:lineRule="auto"/>
              <w:ind w:left="10"/>
            </w:pPr>
            <w:r>
              <w:rPr>
                <w:spacing w:val="5"/>
              </w:rPr>
              <w:t>高层</w:t>
            </w:r>
          </w:p>
          <w:p>
            <w:pPr>
              <w:pStyle w:val="6"/>
              <w:spacing w:before="8" w:line="220" w:lineRule="auto"/>
              <w:ind w:left="10"/>
            </w:pPr>
            <w:r>
              <w:rPr>
                <w:spacing w:val="-3"/>
              </w:rPr>
              <w:t>建筑</w:t>
            </w:r>
          </w:p>
        </w:tc>
        <w:tc>
          <w:tcPr>
            <w:tcW w:w="1278" w:type="dxa"/>
            <w:vMerge w:val="restart"/>
            <w:tcBorders>
              <w:bottom w:val="nil"/>
            </w:tcBorders>
            <w:vAlign w:val="top"/>
          </w:tcPr>
          <w:p>
            <w:pPr>
              <w:pStyle w:val="6"/>
              <w:spacing w:before="238" w:line="221" w:lineRule="auto"/>
              <w:ind w:left="2"/>
            </w:pPr>
            <w:r>
              <w:rPr>
                <w:spacing w:val="-2"/>
              </w:rPr>
              <w:t>住宅</w:t>
            </w:r>
          </w:p>
        </w:tc>
        <w:tc>
          <w:tcPr>
            <w:tcW w:w="1427" w:type="dxa"/>
            <w:vAlign w:val="top"/>
          </w:tcPr>
          <w:p>
            <w:pPr>
              <w:pStyle w:val="6"/>
              <w:spacing w:before="92" w:line="225" w:lineRule="auto"/>
              <w:ind w:left="363"/>
            </w:pPr>
            <w:r>
              <w:rPr>
                <w:spacing w:val="-2"/>
              </w:rPr>
              <w:t>27&lt;h≤54</w:t>
            </w:r>
          </w:p>
        </w:tc>
        <w:tc>
          <w:tcPr>
            <w:tcW w:w="798" w:type="dxa"/>
            <w:vAlign w:val="top"/>
          </w:tcPr>
          <w:p>
            <w:pPr>
              <w:pStyle w:val="6"/>
              <w:spacing w:before="94" w:line="223" w:lineRule="auto"/>
              <w:ind w:left="306"/>
            </w:pPr>
            <w:r>
              <w:rPr>
                <w:spacing w:val="-5"/>
              </w:rPr>
              <w:t>10</w:t>
            </w:r>
          </w:p>
        </w:tc>
        <w:tc>
          <w:tcPr>
            <w:tcW w:w="799" w:type="dxa"/>
            <w:vAlign w:val="top"/>
          </w:tcPr>
          <w:p>
            <w:pPr>
              <w:pStyle w:val="6"/>
              <w:spacing w:before="94" w:line="223" w:lineRule="auto"/>
              <w:ind w:left="348"/>
            </w:pPr>
            <w:r>
              <w:t>2</w:t>
            </w:r>
          </w:p>
        </w:tc>
        <w:tc>
          <w:tcPr>
            <w:tcW w:w="754" w:type="dxa"/>
            <w:vAlign w:val="top"/>
          </w:tcPr>
          <w:p>
            <w:pPr>
              <w:pStyle w:val="6"/>
              <w:spacing w:before="94" w:line="223"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94" w:line="212" w:lineRule="auto"/>
              <w:ind w:left="533"/>
            </w:pPr>
            <w:r>
              <w:rPr>
                <w:spacing w:val="-1"/>
              </w:rPr>
              <w:t>h&gt;54</w:t>
            </w:r>
          </w:p>
        </w:tc>
        <w:tc>
          <w:tcPr>
            <w:tcW w:w="798" w:type="dxa"/>
            <w:vAlign w:val="top"/>
          </w:tcPr>
          <w:p>
            <w:pPr>
              <w:pStyle w:val="6"/>
              <w:spacing w:before="94" w:line="212" w:lineRule="auto"/>
              <w:ind w:left="306"/>
            </w:pPr>
            <w:r>
              <w:rPr>
                <w:spacing w:val="-3"/>
              </w:rPr>
              <w:t>20</w:t>
            </w:r>
          </w:p>
        </w:tc>
        <w:tc>
          <w:tcPr>
            <w:tcW w:w="799" w:type="dxa"/>
            <w:vAlign w:val="top"/>
          </w:tcPr>
          <w:p>
            <w:pPr>
              <w:pStyle w:val="6"/>
              <w:spacing w:before="94" w:line="212" w:lineRule="auto"/>
              <w:ind w:left="348"/>
            </w:pPr>
            <w:r>
              <w:t>4</w:t>
            </w:r>
          </w:p>
        </w:tc>
        <w:tc>
          <w:tcPr>
            <w:tcW w:w="754" w:type="dxa"/>
            <w:vAlign w:val="top"/>
          </w:tcPr>
          <w:p>
            <w:pPr>
              <w:pStyle w:val="6"/>
              <w:spacing w:before="94" w:line="212"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Align w:val="top"/>
          </w:tcPr>
          <w:p>
            <w:pPr>
              <w:pStyle w:val="6"/>
              <w:spacing w:before="78" w:line="219" w:lineRule="auto"/>
              <w:ind w:left="2"/>
            </w:pPr>
            <w:r>
              <w:rPr>
                <w:spacing w:val="-2"/>
              </w:rPr>
              <w:t>二类公共建筑</w:t>
            </w:r>
          </w:p>
        </w:tc>
        <w:tc>
          <w:tcPr>
            <w:tcW w:w="1427" w:type="dxa"/>
            <w:vAlign w:val="top"/>
          </w:tcPr>
          <w:p>
            <w:pPr>
              <w:pStyle w:val="6"/>
              <w:spacing w:before="92" w:line="225" w:lineRule="auto"/>
              <w:ind w:left="493"/>
            </w:pPr>
            <w:r>
              <w:rPr>
                <w:spacing w:val="-1"/>
              </w:rPr>
              <w:t>h≤50</w:t>
            </w:r>
          </w:p>
        </w:tc>
        <w:tc>
          <w:tcPr>
            <w:tcW w:w="798" w:type="dxa"/>
            <w:vAlign w:val="top"/>
          </w:tcPr>
          <w:p>
            <w:pPr>
              <w:pStyle w:val="6"/>
              <w:spacing w:before="94" w:line="223" w:lineRule="auto"/>
              <w:ind w:left="306"/>
            </w:pPr>
            <w:r>
              <w:rPr>
                <w:spacing w:val="-3"/>
              </w:rPr>
              <w:t>20</w:t>
            </w:r>
          </w:p>
        </w:tc>
        <w:tc>
          <w:tcPr>
            <w:tcW w:w="799" w:type="dxa"/>
            <w:vAlign w:val="top"/>
          </w:tcPr>
          <w:p>
            <w:pPr>
              <w:pStyle w:val="6"/>
              <w:spacing w:before="94" w:line="223" w:lineRule="auto"/>
              <w:ind w:left="348"/>
            </w:pPr>
            <w:r>
              <w:t>4</w:t>
            </w:r>
          </w:p>
        </w:tc>
        <w:tc>
          <w:tcPr>
            <w:tcW w:w="754" w:type="dxa"/>
            <w:vAlign w:val="top"/>
          </w:tcPr>
          <w:p>
            <w:pPr>
              <w:pStyle w:val="6"/>
              <w:spacing w:before="94" w:line="223" w:lineRule="auto"/>
              <w:ind w:left="289"/>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394" w:type="dxa"/>
            <w:vMerge w:val="continue"/>
            <w:tcBorders>
              <w:top w:val="nil"/>
              <w:bottom w:val="nil"/>
            </w:tcBorders>
            <w:vAlign w:val="top"/>
          </w:tcPr>
          <w:p>
            <w:pPr>
              <w:rPr>
                <w:rFonts w:ascii="Arial"/>
                <w:sz w:val="21"/>
              </w:rPr>
            </w:pPr>
          </w:p>
        </w:tc>
        <w:tc>
          <w:tcPr>
            <w:tcW w:w="399" w:type="dxa"/>
            <w:vMerge w:val="continue"/>
            <w:tcBorders>
              <w:top w:val="nil"/>
              <w:bottom w:val="nil"/>
            </w:tcBorders>
            <w:vAlign w:val="top"/>
          </w:tcPr>
          <w:p>
            <w:pPr>
              <w:rPr>
                <w:rFonts w:ascii="Arial"/>
                <w:sz w:val="21"/>
              </w:rPr>
            </w:pPr>
          </w:p>
        </w:tc>
        <w:tc>
          <w:tcPr>
            <w:tcW w:w="1278" w:type="dxa"/>
            <w:vMerge w:val="restart"/>
            <w:tcBorders>
              <w:bottom w:val="nil"/>
            </w:tcBorders>
            <w:vAlign w:val="top"/>
          </w:tcPr>
          <w:p>
            <w:pPr>
              <w:pStyle w:val="6"/>
              <w:spacing w:before="218" w:line="219" w:lineRule="auto"/>
              <w:ind w:left="2"/>
            </w:pPr>
            <w:r>
              <w:rPr>
                <w:spacing w:val="-2"/>
              </w:rPr>
              <w:t>一类公共建筑</w:t>
            </w:r>
          </w:p>
        </w:tc>
        <w:tc>
          <w:tcPr>
            <w:tcW w:w="1427" w:type="dxa"/>
            <w:vAlign w:val="top"/>
          </w:tcPr>
          <w:p>
            <w:pPr>
              <w:pStyle w:val="6"/>
              <w:spacing w:before="92" w:line="225" w:lineRule="auto"/>
              <w:ind w:left="493"/>
            </w:pPr>
            <w:r>
              <w:rPr>
                <w:spacing w:val="-1"/>
              </w:rPr>
              <w:t>h≤50</w:t>
            </w:r>
          </w:p>
        </w:tc>
        <w:tc>
          <w:tcPr>
            <w:tcW w:w="798" w:type="dxa"/>
            <w:vAlign w:val="top"/>
          </w:tcPr>
          <w:p>
            <w:pPr>
              <w:pStyle w:val="6"/>
              <w:spacing w:before="94" w:line="223" w:lineRule="auto"/>
              <w:ind w:left="306"/>
            </w:pPr>
            <w:r>
              <w:rPr>
                <w:spacing w:val="-3"/>
              </w:rPr>
              <w:t>30</w:t>
            </w:r>
          </w:p>
        </w:tc>
        <w:tc>
          <w:tcPr>
            <w:tcW w:w="799" w:type="dxa"/>
            <w:vAlign w:val="top"/>
          </w:tcPr>
          <w:p>
            <w:pPr>
              <w:pStyle w:val="6"/>
              <w:spacing w:before="94" w:line="223" w:lineRule="auto"/>
              <w:ind w:left="348"/>
            </w:pPr>
            <w:r>
              <w:t>6</w:t>
            </w:r>
          </w:p>
        </w:tc>
        <w:tc>
          <w:tcPr>
            <w:tcW w:w="754" w:type="dxa"/>
            <w:vAlign w:val="top"/>
          </w:tcPr>
          <w:p>
            <w:pPr>
              <w:pStyle w:val="6"/>
              <w:spacing w:before="94" w:line="223" w:lineRule="auto"/>
              <w:ind w:left="289"/>
            </w:pPr>
            <w:r>
              <w:rPr>
                <w:spacing w:val="-5"/>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394" w:type="dxa"/>
            <w:vMerge w:val="continue"/>
            <w:tcBorders>
              <w:top w:val="nil"/>
            </w:tcBorders>
            <w:vAlign w:val="top"/>
          </w:tcPr>
          <w:p>
            <w:pPr>
              <w:rPr>
                <w:rFonts w:ascii="Arial"/>
                <w:sz w:val="21"/>
              </w:rPr>
            </w:pPr>
          </w:p>
        </w:tc>
        <w:tc>
          <w:tcPr>
            <w:tcW w:w="399" w:type="dxa"/>
            <w:vMerge w:val="continue"/>
            <w:tcBorders>
              <w:top w:val="nil"/>
            </w:tcBorders>
            <w:vAlign w:val="top"/>
          </w:tcPr>
          <w:p>
            <w:pPr>
              <w:rPr>
                <w:rFonts w:ascii="Arial"/>
                <w:sz w:val="21"/>
              </w:rPr>
            </w:pPr>
          </w:p>
        </w:tc>
        <w:tc>
          <w:tcPr>
            <w:tcW w:w="1278" w:type="dxa"/>
            <w:vMerge w:val="continue"/>
            <w:tcBorders>
              <w:top w:val="nil"/>
            </w:tcBorders>
            <w:vAlign w:val="top"/>
          </w:tcPr>
          <w:p>
            <w:pPr>
              <w:rPr>
                <w:rFonts w:ascii="Arial"/>
                <w:sz w:val="21"/>
              </w:rPr>
            </w:pPr>
          </w:p>
        </w:tc>
        <w:tc>
          <w:tcPr>
            <w:tcW w:w="1427" w:type="dxa"/>
            <w:vAlign w:val="top"/>
          </w:tcPr>
          <w:p>
            <w:pPr>
              <w:pStyle w:val="6"/>
              <w:spacing w:before="74" w:line="196" w:lineRule="auto"/>
              <w:ind w:left="533"/>
            </w:pPr>
            <w:r>
              <w:rPr>
                <w:spacing w:val="-1"/>
              </w:rPr>
              <w:t>h&gt;50</w:t>
            </w:r>
          </w:p>
        </w:tc>
        <w:tc>
          <w:tcPr>
            <w:tcW w:w="798" w:type="dxa"/>
            <w:vAlign w:val="top"/>
          </w:tcPr>
          <w:p>
            <w:pPr>
              <w:pStyle w:val="6"/>
              <w:spacing w:before="74" w:line="196" w:lineRule="auto"/>
              <w:ind w:left="306"/>
            </w:pPr>
            <w:r>
              <w:rPr>
                <w:spacing w:val="-2"/>
              </w:rPr>
              <w:t>40</w:t>
            </w:r>
          </w:p>
        </w:tc>
        <w:tc>
          <w:tcPr>
            <w:tcW w:w="799" w:type="dxa"/>
            <w:vAlign w:val="top"/>
          </w:tcPr>
          <w:p>
            <w:pPr>
              <w:pStyle w:val="6"/>
              <w:spacing w:before="74" w:line="196" w:lineRule="auto"/>
              <w:ind w:left="348"/>
            </w:pPr>
            <w:r>
              <w:t>8</w:t>
            </w:r>
          </w:p>
        </w:tc>
        <w:tc>
          <w:tcPr>
            <w:tcW w:w="754" w:type="dxa"/>
            <w:vAlign w:val="top"/>
          </w:tcPr>
          <w:p>
            <w:pPr>
              <w:pStyle w:val="6"/>
              <w:spacing w:before="74" w:line="196" w:lineRule="auto"/>
              <w:ind w:left="289"/>
            </w:pPr>
            <w:r>
              <w:rPr>
                <w:spacing w:val="-5"/>
              </w:rPr>
              <w:t>15</w:t>
            </w:r>
          </w:p>
        </w:tc>
      </w:tr>
    </w:tbl>
    <w:p>
      <w:pPr>
        <w:pStyle w:val="2"/>
        <w:spacing w:line="97" w:lineRule="exact"/>
        <w:rPr>
          <w:sz w:val="8"/>
        </w:rPr>
      </w:pPr>
    </w:p>
    <w:p>
      <w:pPr>
        <w:spacing w:line="97" w:lineRule="exact"/>
        <w:rPr>
          <w:sz w:val="8"/>
          <w:szCs w:val="8"/>
        </w:rPr>
        <w:sectPr>
          <w:footerReference r:id="rId33" w:type="default"/>
          <w:pgSz w:w="8280" w:h="11850"/>
          <w:pgMar w:top="1007" w:right="1224" w:bottom="1307" w:left="1195" w:header="0" w:footer="1007" w:gutter="0"/>
          <w:cols w:space="720" w:num="1"/>
        </w:sectPr>
      </w:pPr>
    </w:p>
    <w:p>
      <w:pPr>
        <w:spacing w:line="65" w:lineRule="exact"/>
      </w:pPr>
    </w:p>
    <w:tbl>
      <w:tblPr>
        <w:tblStyle w:val="5"/>
        <w:tblW w:w="5820"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1577"/>
        <w:gridCol w:w="729"/>
        <w:gridCol w:w="719"/>
        <w:gridCol w:w="778"/>
        <w:gridCol w:w="799"/>
        <w:gridCol w:w="7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051" w:type="dxa"/>
            <w:gridSpan w:val="2"/>
            <w:vAlign w:val="top"/>
          </w:tcPr>
          <w:p>
            <w:pPr>
              <w:spacing w:line="268" w:lineRule="auto"/>
              <w:rPr>
                <w:rFonts w:ascii="Arial"/>
                <w:sz w:val="21"/>
              </w:rPr>
            </w:pPr>
          </w:p>
          <w:p>
            <w:pPr>
              <w:pStyle w:val="6"/>
              <w:spacing w:before="52" w:line="220" w:lineRule="auto"/>
              <w:ind w:left="615"/>
              <w:rPr>
                <w:sz w:val="16"/>
                <w:szCs w:val="16"/>
              </w:rPr>
            </w:pPr>
            <w:r>
              <w:rPr>
                <w:spacing w:val="-2"/>
                <w:sz w:val="16"/>
                <w:szCs w:val="16"/>
              </w:rPr>
              <w:t>建筑物名称</w:t>
            </w:r>
          </w:p>
        </w:tc>
        <w:tc>
          <w:tcPr>
            <w:tcW w:w="1448" w:type="dxa"/>
            <w:gridSpan w:val="2"/>
            <w:vAlign w:val="top"/>
          </w:tcPr>
          <w:p>
            <w:pPr>
              <w:pStyle w:val="6"/>
              <w:spacing w:before="70" w:line="267" w:lineRule="auto"/>
              <w:ind w:left="13" w:firstLine="59"/>
              <w:rPr>
                <w:sz w:val="16"/>
                <w:szCs w:val="16"/>
              </w:rPr>
            </w:pPr>
            <w:r>
              <w:rPr>
                <w:spacing w:val="7"/>
                <w:sz w:val="16"/>
                <w:szCs w:val="16"/>
              </w:rPr>
              <w:t>高度h(m)、层数、</w:t>
            </w:r>
            <w:r>
              <w:rPr>
                <w:spacing w:val="5"/>
                <w:sz w:val="16"/>
                <w:szCs w:val="16"/>
              </w:rPr>
              <w:t>体积V(m³)、座位数</w:t>
            </w:r>
            <w:r>
              <w:rPr>
                <w:spacing w:val="1"/>
                <w:sz w:val="16"/>
                <w:szCs w:val="16"/>
              </w:rPr>
              <w:t>n(个)、火灾危险性</w:t>
            </w:r>
          </w:p>
        </w:tc>
        <w:tc>
          <w:tcPr>
            <w:tcW w:w="778" w:type="dxa"/>
            <w:vAlign w:val="top"/>
          </w:tcPr>
          <w:p>
            <w:pPr>
              <w:pStyle w:val="6"/>
              <w:spacing w:before="91" w:line="219" w:lineRule="auto"/>
              <w:ind w:left="145"/>
              <w:rPr>
                <w:sz w:val="16"/>
                <w:szCs w:val="16"/>
              </w:rPr>
            </w:pPr>
            <w:r>
              <w:rPr>
                <w:spacing w:val="-3"/>
                <w:sz w:val="16"/>
                <w:szCs w:val="16"/>
              </w:rPr>
              <w:t>消火栓</w:t>
            </w:r>
          </w:p>
          <w:p>
            <w:pPr>
              <w:pStyle w:val="6"/>
              <w:spacing w:before="30" w:line="221" w:lineRule="auto"/>
              <w:ind w:left="66"/>
              <w:rPr>
                <w:sz w:val="16"/>
                <w:szCs w:val="16"/>
              </w:rPr>
            </w:pPr>
            <w:r>
              <w:rPr>
                <w:spacing w:val="-2"/>
                <w:sz w:val="16"/>
                <w:szCs w:val="16"/>
              </w:rPr>
              <w:t>设计流量</w:t>
            </w:r>
          </w:p>
          <w:p>
            <w:pPr>
              <w:pStyle w:val="6"/>
              <w:spacing w:before="20" w:line="222" w:lineRule="auto"/>
              <w:ind w:left="186"/>
              <w:rPr>
                <w:sz w:val="16"/>
                <w:szCs w:val="16"/>
              </w:rPr>
            </w:pPr>
            <w:r>
              <w:rPr>
                <w:spacing w:val="-6"/>
                <w:sz w:val="16"/>
                <w:szCs w:val="16"/>
              </w:rPr>
              <w:t>(L/s)</w:t>
            </w:r>
          </w:p>
        </w:tc>
        <w:tc>
          <w:tcPr>
            <w:tcW w:w="799" w:type="dxa"/>
            <w:vAlign w:val="top"/>
          </w:tcPr>
          <w:p>
            <w:pPr>
              <w:pStyle w:val="6"/>
              <w:spacing w:before="80" w:line="245" w:lineRule="auto"/>
              <w:ind w:left="18" w:firstLine="58"/>
              <w:rPr>
                <w:sz w:val="16"/>
                <w:szCs w:val="16"/>
              </w:rPr>
            </w:pPr>
            <w:r>
              <w:rPr>
                <w:sz w:val="16"/>
                <w:szCs w:val="16"/>
              </w:rPr>
              <w:t>同时使用</w:t>
            </w:r>
            <w:r>
              <w:rPr>
                <w:spacing w:val="-6"/>
                <w:sz w:val="16"/>
                <w:szCs w:val="16"/>
              </w:rPr>
              <w:t>消防水枪数</w:t>
            </w:r>
          </w:p>
          <w:p>
            <w:pPr>
              <w:pStyle w:val="6"/>
              <w:spacing w:before="16" w:line="220" w:lineRule="auto"/>
              <w:ind w:left="238"/>
              <w:rPr>
                <w:sz w:val="16"/>
                <w:szCs w:val="16"/>
              </w:rPr>
            </w:pPr>
            <w:r>
              <w:rPr>
                <w:spacing w:val="11"/>
                <w:sz w:val="16"/>
                <w:szCs w:val="16"/>
              </w:rPr>
              <w:t>(支)</w:t>
            </w:r>
          </w:p>
        </w:tc>
        <w:tc>
          <w:tcPr>
            <w:tcW w:w="744" w:type="dxa"/>
            <w:vAlign w:val="top"/>
          </w:tcPr>
          <w:p>
            <w:pPr>
              <w:pStyle w:val="6"/>
              <w:spacing w:before="81" w:line="219" w:lineRule="auto"/>
              <w:ind w:left="49"/>
              <w:rPr>
                <w:sz w:val="16"/>
                <w:szCs w:val="16"/>
              </w:rPr>
            </w:pPr>
            <w:r>
              <w:rPr>
                <w:spacing w:val="-2"/>
                <w:sz w:val="16"/>
                <w:szCs w:val="16"/>
              </w:rPr>
              <w:t>每根竖管</w:t>
            </w:r>
          </w:p>
          <w:p>
            <w:pPr>
              <w:pStyle w:val="6"/>
              <w:spacing w:before="40" w:line="219" w:lineRule="auto"/>
              <w:ind w:left="49"/>
              <w:rPr>
                <w:sz w:val="16"/>
                <w:szCs w:val="16"/>
              </w:rPr>
            </w:pPr>
            <w:r>
              <w:rPr>
                <w:spacing w:val="-2"/>
                <w:sz w:val="16"/>
                <w:szCs w:val="16"/>
              </w:rPr>
              <w:t>最小流量</w:t>
            </w:r>
          </w:p>
          <w:p>
            <w:pPr>
              <w:pStyle w:val="6"/>
              <w:spacing w:before="22" w:line="222" w:lineRule="auto"/>
              <w:ind w:left="169"/>
              <w:rPr>
                <w:sz w:val="16"/>
                <w:szCs w:val="16"/>
              </w:rPr>
            </w:pPr>
            <w:r>
              <w:rPr>
                <w:spacing w:val="-6"/>
                <w:sz w:val="16"/>
                <w:szCs w:val="16"/>
              </w:rPr>
              <w:t>(L/s)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051" w:type="dxa"/>
            <w:gridSpan w:val="2"/>
            <w:vMerge w:val="restart"/>
            <w:tcBorders>
              <w:bottom w:val="nil"/>
            </w:tcBorders>
            <w:vAlign w:val="top"/>
          </w:tcPr>
          <w:p>
            <w:pPr>
              <w:pStyle w:val="6"/>
              <w:spacing w:before="127" w:line="221" w:lineRule="auto"/>
              <w:ind w:left="545" w:right="541" w:firstLine="69"/>
              <w:rPr>
                <w:sz w:val="16"/>
                <w:szCs w:val="16"/>
              </w:rPr>
            </w:pPr>
            <w:r>
              <w:rPr>
                <w:spacing w:val="2"/>
                <w:sz w:val="16"/>
                <w:szCs w:val="16"/>
              </w:rPr>
              <w:t>文物建筑和</w:t>
            </w:r>
            <w:r>
              <w:rPr>
                <w:spacing w:val="-1"/>
                <w:sz w:val="16"/>
                <w:szCs w:val="16"/>
              </w:rPr>
              <w:t>优秀历史建筑</w:t>
            </w:r>
          </w:p>
        </w:tc>
        <w:tc>
          <w:tcPr>
            <w:tcW w:w="1448" w:type="dxa"/>
            <w:gridSpan w:val="2"/>
            <w:vAlign w:val="top"/>
          </w:tcPr>
          <w:p>
            <w:pPr>
              <w:pStyle w:val="6"/>
              <w:spacing w:before="91" w:line="236" w:lineRule="auto"/>
              <w:ind w:left="394"/>
              <w:rPr>
                <w:sz w:val="16"/>
                <w:szCs w:val="16"/>
              </w:rPr>
            </w:pPr>
            <w:r>
              <w:rPr>
                <w:spacing w:val="-1"/>
                <w:sz w:val="16"/>
                <w:szCs w:val="16"/>
              </w:rPr>
              <w:t>V≤10000</w:t>
            </w:r>
          </w:p>
        </w:tc>
        <w:tc>
          <w:tcPr>
            <w:tcW w:w="778" w:type="dxa"/>
            <w:vAlign w:val="top"/>
          </w:tcPr>
          <w:p>
            <w:pPr>
              <w:pStyle w:val="6"/>
              <w:spacing w:before="93" w:line="238" w:lineRule="auto"/>
              <w:ind w:left="306"/>
              <w:rPr>
                <w:sz w:val="16"/>
                <w:szCs w:val="16"/>
              </w:rPr>
            </w:pPr>
            <w:r>
              <w:rPr>
                <w:spacing w:val="-3"/>
                <w:sz w:val="16"/>
                <w:szCs w:val="16"/>
              </w:rPr>
              <w:t>20</w:t>
            </w:r>
          </w:p>
        </w:tc>
        <w:tc>
          <w:tcPr>
            <w:tcW w:w="799" w:type="dxa"/>
            <w:vAlign w:val="top"/>
          </w:tcPr>
          <w:p>
            <w:pPr>
              <w:pStyle w:val="6"/>
              <w:spacing w:before="93" w:line="238" w:lineRule="auto"/>
              <w:ind w:left="358"/>
              <w:rPr>
                <w:sz w:val="16"/>
                <w:szCs w:val="16"/>
              </w:rPr>
            </w:pPr>
            <w:r>
              <w:rPr>
                <w:sz w:val="16"/>
                <w:szCs w:val="16"/>
              </w:rPr>
              <w:t>4</w:t>
            </w:r>
          </w:p>
        </w:tc>
        <w:tc>
          <w:tcPr>
            <w:tcW w:w="744" w:type="dxa"/>
            <w:vAlign w:val="top"/>
          </w:tcPr>
          <w:p>
            <w:pPr>
              <w:pStyle w:val="6"/>
              <w:spacing w:before="93" w:line="238"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051" w:type="dxa"/>
            <w:gridSpan w:val="2"/>
            <w:vMerge w:val="continue"/>
            <w:tcBorders>
              <w:top w:val="nil"/>
            </w:tcBorders>
            <w:vAlign w:val="top"/>
          </w:tcPr>
          <w:p>
            <w:pPr>
              <w:rPr>
                <w:rFonts w:ascii="Arial"/>
                <w:sz w:val="21"/>
              </w:rPr>
            </w:pPr>
          </w:p>
        </w:tc>
        <w:tc>
          <w:tcPr>
            <w:tcW w:w="1448" w:type="dxa"/>
            <w:gridSpan w:val="2"/>
            <w:vAlign w:val="top"/>
          </w:tcPr>
          <w:p>
            <w:pPr>
              <w:pStyle w:val="6"/>
              <w:spacing w:before="83" w:line="238" w:lineRule="auto"/>
              <w:ind w:left="434"/>
              <w:rPr>
                <w:sz w:val="16"/>
                <w:szCs w:val="16"/>
              </w:rPr>
            </w:pPr>
            <w:r>
              <w:rPr>
                <w:spacing w:val="-1"/>
                <w:sz w:val="16"/>
                <w:szCs w:val="16"/>
              </w:rPr>
              <w:t>V&gt;10000</w:t>
            </w:r>
          </w:p>
        </w:tc>
        <w:tc>
          <w:tcPr>
            <w:tcW w:w="778" w:type="dxa"/>
            <w:vAlign w:val="top"/>
          </w:tcPr>
          <w:p>
            <w:pPr>
              <w:pStyle w:val="6"/>
              <w:spacing w:before="83" w:line="238" w:lineRule="auto"/>
              <w:ind w:left="306"/>
              <w:rPr>
                <w:sz w:val="16"/>
                <w:szCs w:val="16"/>
              </w:rPr>
            </w:pPr>
            <w:r>
              <w:rPr>
                <w:spacing w:val="-3"/>
                <w:sz w:val="16"/>
                <w:szCs w:val="16"/>
              </w:rPr>
              <w:t>25</w:t>
            </w:r>
          </w:p>
        </w:tc>
        <w:tc>
          <w:tcPr>
            <w:tcW w:w="799" w:type="dxa"/>
            <w:vAlign w:val="top"/>
          </w:tcPr>
          <w:p>
            <w:pPr>
              <w:pStyle w:val="6"/>
              <w:spacing w:before="83" w:line="238" w:lineRule="auto"/>
              <w:ind w:left="358"/>
              <w:rPr>
                <w:sz w:val="16"/>
                <w:szCs w:val="16"/>
              </w:rPr>
            </w:pPr>
            <w:r>
              <w:rPr>
                <w:sz w:val="16"/>
                <w:szCs w:val="16"/>
              </w:rPr>
              <w:t>5</w:t>
            </w:r>
          </w:p>
        </w:tc>
        <w:tc>
          <w:tcPr>
            <w:tcW w:w="744" w:type="dxa"/>
            <w:vAlign w:val="top"/>
          </w:tcPr>
          <w:p>
            <w:pPr>
              <w:pStyle w:val="6"/>
              <w:spacing w:before="83" w:line="238" w:lineRule="auto"/>
              <w:ind w:left="288"/>
              <w:rPr>
                <w:sz w:val="16"/>
                <w:szCs w:val="16"/>
              </w:rPr>
            </w:pPr>
            <w:r>
              <w:rPr>
                <w:spacing w:val="-5"/>
                <w:sz w:val="16"/>
                <w:szCs w:val="1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pStyle w:val="6"/>
              <w:spacing w:before="52" w:line="220" w:lineRule="auto"/>
              <w:ind w:left="65"/>
              <w:rPr>
                <w:sz w:val="16"/>
                <w:szCs w:val="16"/>
              </w:rPr>
            </w:pPr>
            <w:r>
              <w:rPr>
                <w:spacing w:val="-2"/>
                <w:sz w:val="16"/>
                <w:szCs w:val="16"/>
              </w:rPr>
              <w:t>人防</w:t>
            </w:r>
          </w:p>
          <w:p>
            <w:pPr>
              <w:pStyle w:val="6"/>
              <w:spacing w:before="19" w:line="220" w:lineRule="auto"/>
              <w:ind w:left="65"/>
              <w:rPr>
                <w:sz w:val="16"/>
                <w:szCs w:val="16"/>
              </w:rPr>
            </w:pPr>
            <w:r>
              <w:rPr>
                <w:spacing w:val="-3"/>
                <w:sz w:val="16"/>
                <w:szCs w:val="16"/>
              </w:rPr>
              <w:t>工程</w:t>
            </w:r>
          </w:p>
        </w:tc>
        <w:tc>
          <w:tcPr>
            <w:tcW w:w="1577" w:type="dxa"/>
            <w:vMerge w:val="restart"/>
            <w:tcBorders>
              <w:bottom w:val="nil"/>
            </w:tcBorders>
            <w:vAlign w:val="top"/>
          </w:tcPr>
          <w:p>
            <w:pPr>
              <w:pStyle w:val="6"/>
              <w:spacing w:before="278" w:line="255" w:lineRule="auto"/>
              <w:ind w:left="11"/>
              <w:rPr>
                <w:sz w:val="16"/>
                <w:szCs w:val="16"/>
              </w:rPr>
            </w:pPr>
            <w:r>
              <w:rPr>
                <w:spacing w:val="-20"/>
                <w:sz w:val="16"/>
                <w:szCs w:val="16"/>
              </w:rPr>
              <w:t>展览厅、影院、剧场、</w:t>
            </w:r>
            <w:r>
              <w:rPr>
                <w:spacing w:val="-9"/>
                <w:sz w:val="16"/>
                <w:szCs w:val="16"/>
              </w:rPr>
              <w:t>礼</w:t>
            </w:r>
            <w:r>
              <w:rPr>
                <w:spacing w:val="-1"/>
                <w:sz w:val="16"/>
                <w:szCs w:val="16"/>
              </w:rPr>
              <w:t>堂、健身体育场所等</w:t>
            </w:r>
          </w:p>
        </w:tc>
        <w:tc>
          <w:tcPr>
            <w:tcW w:w="1448" w:type="dxa"/>
            <w:gridSpan w:val="2"/>
            <w:vAlign w:val="top"/>
          </w:tcPr>
          <w:p>
            <w:pPr>
              <w:pStyle w:val="6"/>
              <w:spacing w:before="91" w:line="236" w:lineRule="auto"/>
              <w:ind w:left="434"/>
              <w:rPr>
                <w:sz w:val="16"/>
                <w:szCs w:val="16"/>
              </w:rPr>
            </w:pPr>
            <w:r>
              <w:rPr>
                <w:spacing w:val="-1"/>
                <w:sz w:val="16"/>
                <w:szCs w:val="16"/>
              </w:rPr>
              <w:t>V≤1000</w:t>
            </w:r>
          </w:p>
        </w:tc>
        <w:tc>
          <w:tcPr>
            <w:tcW w:w="778" w:type="dxa"/>
            <w:vAlign w:val="top"/>
          </w:tcPr>
          <w:p>
            <w:pPr>
              <w:pStyle w:val="6"/>
              <w:spacing w:before="93" w:line="237" w:lineRule="auto"/>
              <w:ind w:left="346"/>
              <w:rPr>
                <w:sz w:val="16"/>
                <w:szCs w:val="16"/>
              </w:rPr>
            </w:pPr>
            <w:r>
              <w:rPr>
                <w:sz w:val="16"/>
                <w:szCs w:val="16"/>
              </w:rPr>
              <w:t>5</w:t>
            </w:r>
          </w:p>
        </w:tc>
        <w:tc>
          <w:tcPr>
            <w:tcW w:w="799" w:type="dxa"/>
            <w:vAlign w:val="top"/>
          </w:tcPr>
          <w:p>
            <w:pPr>
              <w:pStyle w:val="6"/>
              <w:spacing w:before="93" w:line="237" w:lineRule="auto"/>
              <w:ind w:left="358"/>
              <w:rPr>
                <w:sz w:val="16"/>
                <w:szCs w:val="16"/>
              </w:rPr>
            </w:pPr>
            <w:r>
              <w:rPr>
                <w:sz w:val="16"/>
                <w:szCs w:val="16"/>
              </w:rPr>
              <w:t>1</w:t>
            </w:r>
          </w:p>
        </w:tc>
        <w:tc>
          <w:tcPr>
            <w:tcW w:w="744" w:type="dxa"/>
            <w:vAlign w:val="top"/>
          </w:tcPr>
          <w:p>
            <w:pPr>
              <w:pStyle w:val="6"/>
              <w:spacing w:before="93" w:line="237" w:lineRule="auto"/>
              <w:ind w:left="328"/>
              <w:rPr>
                <w:sz w:val="16"/>
                <w:szCs w:val="16"/>
              </w:rPr>
            </w:pPr>
            <w:r>
              <w:rPr>
                <w:sz w:val="16"/>
                <w:szCs w:val="16"/>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bottom w:val="nil"/>
            </w:tcBorders>
            <w:vAlign w:val="top"/>
          </w:tcPr>
          <w:p>
            <w:pPr>
              <w:rPr>
                <w:rFonts w:ascii="Arial"/>
                <w:sz w:val="21"/>
              </w:rPr>
            </w:pPr>
          </w:p>
        </w:tc>
        <w:tc>
          <w:tcPr>
            <w:tcW w:w="1448" w:type="dxa"/>
            <w:gridSpan w:val="2"/>
            <w:vAlign w:val="top"/>
          </w:tcPr>
          <w:p>
            <w:pPr>
              <w:pStyle w:val="6"/>
              <w:spacing w:before="92" w:line="236" w:lineRule="auto"/>
              <w:ind w:left="233"/>
              <w:rPr>
                <w:sz w:val="16"/>
                <w:szCs w:val="16"/>
              </w:rPr>
            </w:pPr>
            <w:r>
              <w:rPr>
                <w:spacing w:val="-2"/>
                <w:sz w:val="16"/>
                <w:szCs w:val="16"/>
              </w:rPr>
              <w:t>1000&lt;V≤2500</w:t>
            </w:r>
          </w:p>
        </w:tc>
        <w:tc>
          <w:tcPr>
            <w:tcW w:w="778" w:type="dxa"/>
            <w:vAlign w:val="top"/>
          </w:tcPr>
          <w:p>
            <w:pPr>
              <w:pStyle w:val="6"/>
              <w:spacing w:before="94" w:line="237" w:lineRule="auto"/>
              <w:ind w:left="306"/>
              <w:rPr>
                <w:sz w:val="16"/>
                <w:szCs w:val="16"/>
              </w:rPr>
            </w:pPr>
            <w:r>
              <w:rPr>
                <w:spacing w:val="-5"/>
                <w:sz w:val="16"/>
                <w:szCs w:val="16"/>
              </w:rPr>
              <w:t>10</w:t>
            </w:r>
          </w:p>
        </w:tc>
        <w:tc>
          <w:tcPr>
            <w:tcW w:w="799" w:type="dxa"/>
            <w:vAlign w:val="top"/>
          </w:tcPr>
          <w:p>
            <w:pPr>
              <w:pStyle w:val="6"/>
              <w:spacing w:before="94" w:line="237" w:lineRule="auto"/>
              <w:ind w:left="358"/>
              <w:rPr>
                <w:sz w:val="16"/>
                <w:szCs w:val="16"/>
              </w:rPr>
            </w:pPr>
            <w:r>
              <w:rPr>
                <w:sz w:val="16"/>
                <w:szCs w:val="16"/>
              </w:rPr>
              <w:t>2</w:t>
            </w:r>
          </w:p>
        </w:tc>
        <w:tc>
          <w:tcPr>
            <w:tcW w:w="744" w:type="dxa"/>
            <w:vAlign w:val="top"/>
          </w:tcPr>
          <w:p>
            <w:pPr>
              <w:pStyle w:val="6"/>
              <w:spacing w:before="94" w:line="237"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tcBorders>
            <w:vAlign w:val="top"/>
          </w:tcPr>
          <w:p>
            <w:pPr>
              <w:rPr>
                <w:rFonts w:ascii="Arial"/>
                <w:sz w:val="21"/>
              </w:rPr>
            </w:pPr>
          </w:p>
        </w:tc>
        <w:tc>
          <w:tcPr>
            <w:tcW w:w="1448" w:type="dxa"/>
            <w:gridSpan w:val="2"/>
            <w:vAlign w:val="top"/>
          </w:tcPr>
          <w:p>
            <w:pPr>
              <w:pStyle w:val="6"/>
              <w:spacing w:before="94" w:line="236" w:lineRule="auto"/>
              <w:ind w:left="474"/>
              <w:rPr>
                <w:sz w:val="16"/>
                <w:szCs w:val="16"/>
              </w:rPr>
            </w:pPr>
            <w:r>
              <w:rPr>
                <w:spacing w:val="-1"/>
                <w:sz w:val="16"/>
                <w:szCs w:val="16"/>
              </w:rPr>
              <w:t>V&gt;2500</w:t>
            </w:r>
          </w:p>
        </w:tc>
        <w:tc>
          <w:tcPr>
            <w:tcW w:w="778" w:type="dxa"/>
            <w:vAlign w:val="top"/>
          </w:tcPr>
          <w:p>
            <w:pPr>
              <w:pStyle w:val="6"/>
              <w:spacing w:before="94" w:line="236" w:lineRule="auto"/>
              <w:ind w:left="306"/>
              <w:rPr>
                <w:sz w:val="16"/>
                <w:szCs w:val="16"/>
              </w:rPr>
            </w:pPr>
            <w:r>
              <w:rPr>
                <w:spacing w:val="-5"/>
                <w:sz w:val="16"/>
                <w:szCs w:val="16"/>
              </w:rPr>
              <w:t>15</w:t>
            </w:r>
          </w:p>
        </w:tc>
        <w:tc>
          <w:tcPr>
            <w:tcW w:w="799" w:type="dxa"/>
            <w:vAlign w:val="top"/>
          </w:tcPr>
          <w:p>
            <w:pPr>
              <w:pStyle w:val="6"/>
              <w:spacing w:before="94" w:line="236" w:lineRule="auto"/>
              <w:ind w:left="358"/>
              <w:rPr>
                <w:sz w:val="16"/>
                <w:szCs w:val="16"/>
              </w:rPr>
            </w:pPr>
            <w:r>
              <w:rPr>
                <w:sz w:val="16"/>
                <w:szCs w:val="16"/>
              </w:rPr>
              <w:t>3</w:t>
            </w:r>
          </w:p>
        </w:tc>
        <w:tc>
          <w:tcPr>
            <w:tcW w:w="744" w:type="dxa"/>
            <w:vAlign w:val="top"/>
          </w:tcPr>
          <w:p>
            <w:pPr>
              <w:pStyle w:val="6"/>
              <w:spacing w:before="94" w:line="236"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bottom w:val="nil"/>
            </w:tcBorders>
            <w:vAlign w:val="top"/>
          </w:tcPr>
          <w:p>
            <w:pPr>
              <w:rPr>
                <w:rFonts w:ascii="Arial"/>
                <w:sz w:val="21"/>
              </w:rPr>
            </w:pPr>
          </w:p>
        </w:tc>
        <w:tc>
          <w:tcPr>
            <w:tcW w:w="1577" w:type="dxa"/>
            <w:vMerge w:val="restart"/>
            <w:tcBorders>
              <w:bottom w:val="nil"/>
            </w:tcBorders>
            <w:vAlign w:val="top"/>
          </w:tcPr>
          <w:p>
            <w:pPr>
              <w:spacing w:line="404" w:lineRule="auto"/>
              <w:rPr>
                <w:rFonts w:ascii="Arial"/>
                <w:sz w:val="21"/>
              </w:rPr>
            </w:pPr>
          </w:p>
          <w:p>
            <w:pPr>
              <w:pStyle w:val="6"/>
              <w:spacing w:before="52" w:line="233" w:lineRule="auto"/>
              <w:ind w:left="11"/>
              <w:rPr>
                <w:sz w:val="16"/>
                <w:szCs w:val="16"/>
              </w:rPr>
            </w:pPr>
            <w:r>
              <w:rPr>
                <w:spacing w:val="-5"/>
                <w:sz w:val="16"/>
                <w:szCs w:val="16"/>
              </w:rPr>
              <w:t>商场、餐厅、旅馆、医</w:t>
            </w:r>
            <w:r>
              <w:rPr>
                <w:spacing w:val="3"/>
                <w:sz w:val="16"/>
                <w:szCs w:val="16"/>
              </w:rPr>
              <w:t>院等</w:t>
            </w:r>
          </w:p>
        </w:tc>
        <w:tc>
          <w:tcPr>
            <w:tcW w:w="1448" w:type="dxa"/>
            <w:gridSpan w:val="2"/>
            <w:vAlign w:val="top"/>
          </w:tcPr>
          <w:p>
            <w:pPr>
              <w:pStyle w:val="6"/>
              <w:spacing w:before="93" w:line="236" w:lineRule="auto"/>
              <w:ind w:left="434"/>
              <w:rPr>
                <w:sz w:val="16"/>
                <w:szCs w:val="16"/>
              </w:rPr>
            </w:pPr>
            <w:r>
              <w:rPr>
                <w:spacing w:val="-1"/>
                <w:sz w:val="16"/>
                <w:szCs w:val="16"/>
              </w:rPr>
              <w:t>V≤5000</w:t>
            </w:r>
          </w:p>
        </w:tc>
        <w:tc>
          <w:tcPr>
            <w:tcW w:w="778" w:type="dxa"/>
            <w:vAlign w:val="top"/>
          </w:tcPr>
          <w:p>
            <w:pPr>
              <w:pStyle w:val="6"/>
              <w:spacing w:before="95" w:line="235" w:lineRule="auto"/>
              <w:ind w:left="346"/>
              <w:rPr>
                <w:sz w:val="16"/>
                <w:szCs w:val="16"/>
              </w:rPr>
            </w:pPr>
            <w:r>
              <w:rPr>
                <w:sz w:val="16"/>
                <w:szCs w:val="16"/>
              </w:rPr>
              <w:t>5</w:t>
            </w:r>
          </w:p>
        </w:tc>
        <w:tc>
          <w:tcPr>
            <w:tcW w:w="799" w:type="dxa"/>
            <w:vAlign w:val="top"/>
          </w:tcPr>
          <w:p>
            <w:pPr>
              <w:pStyle w:val="6"/>
              <w:spacing w:before="95" w:line="235" w:lineRule="auto"/>
              <w:ind w:left="358"/>
              <w:rPr>
                <w:sz w:val="16"/>
                <w:szCs w:val="16"/>
              </w:rPr>
            </w:pPr>
            <w:r>
              <w:rPr>
                <w:sz w:val="16"/>
                <w:szCs w:val="16"/>
              </w:rPr>
              <w:t>1</w:t>
            </w:r>
          </w:p>
        </w:tc>
        <w:tc>
          <w:tcPr>
            <w:tcW w:w="744" w:type="dxa"/>
            <w:vAlign w:val="top"/>
          </w:tcPr>
          <w:p>
            <w:pPr>
              <w:pStyle w:val="6"/>
              <w:spacing w:before="95" w:line="235" w:lineRule="auto"/>
              <w:ind w:left="328"/>
              <w:rPr>
                <w:sz w:val="16"/>
                <w:szCs w:val="16"/>
              </w:rPr>
            </w:pPr>
            <w:r>
              <w:rPr>
                <w:sz w:val="16"/>
                <w:szCs w:val="16"/>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bottom w:val="nil"/>
            </w:tcBorders>
            <w:vAlign w:val="top"/>
          </w:tcPr>
          <w:p>
            <w:pPr>
              <w:rPr>
                <w:rFonts w:ascii="Arial"/>
                <w:sz w:val="21"/>
              </w:rPr>
            </w:pPr>
          </w:p>
        </w:tc>
        <w:tc>
          <w:tcPr>
            <w:tcW w:w="1448" w:type="dxa"/>
            <w:gridSpan w:val="2"/>
            <w:vAlign w:val="top"/>
          </w:tcPr>
          <w:p>
            <w:pPr>
              <w:pStyle w:val="6"/>
              <w:spacing w:before="84" w:line="236" w:lineRule="auto"/>
              <w:ind w:left="194"/>
              <w:rPr>
                <w:sz w:val="16"/>
                <w:szCs w:val="16"/>
              </w:rPr>
            </w:pPr>
            <w:r>
              <w:rPr>
                <w:spacing w:val="-1"/>
                <w:sz w:val="16"/>
                <w:szCs w:val="16"/>
              </w:rPr>
              <w:t>5000&lt;V≤10000</w:t>
            </w:r>
          </w:p>
        </w:tc>
        <w:tc>
          <w:tcPr>
            <w:tcW w:w="778" w:type="dxa"/>
            <w:vAlign w:val="top"/>
          </w:tcPr>
          <w:p>
            <w:pPr>
              <w:pStyle w:val="6"/>
              <w:spacing w:before="86" w:line="235" w:lineRule="auto"/>
              <w:ind w:left="306"/>
              <w:rPr>
                <w:sz w:val="16"/>
                <w:szCs w:val="16"/>
              </w:rPr>
            </w:pPr>
            <w:r>
              <w:rPr>
                <w:spacing w:val="-5"/>
                <w:sz w:val="16"/>
                <w:szCs w:val="16"/>
              </w:rPr>
              <w:t>10</w:t>
            </w:r>
          </w:p>
        </w:tc>
        <w:tc>
          <w:tcPr>
            <w:tcW w:w="799" w:type="dxa"/>
            <w:vAlign w:val="top"/>
          </w:tcPr>
          <w:p>
            <w:pPr>
              <w:pStyle w:val="6"/>
              <w:spacing w:before="86" w:line="235" w:lineRule="auto"/>
              <w:ind w:left="358"/>
              <w:rPr>
                <w:sz w:val="16"/>
                <w:szCs w:val="16"/>
              </w:rPr>
            </w:pPr>
            <w:r>
              <w:rPr>
                <w:sz w:val="16"/>
                <w:szCs w:val="16"/>
              </w:rPr>
              <w:t>2</w:t>
            </w:r>
          </w:p>
        </w:tc>
        <w:tc>
          <w:tcPr>
            <w:tcW w:w="744" w:type="dxa"/>
            <w:vAlign w:val="top"/>
          </w:tcPr>
          <w:p>
            <w:pPr>
              <w:pStyle w:val="6"/>
              <w:spacing w:before="86" w:line="235"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bottom w:val="nil"/>
            </w:tcBorders>
            <w:vAlign w:val="top"/>
          </w:tcPr>
          <w:p>
            <w:pPr>
              <w:rPr>
                <w:rFonts w:ascii="Arial"/>
                <w:sz w:val="21"/>
              </w:rPr>
            </w:pPr>
          </w:p>
        </w:tc>
        <w:tc>
          <w:tcPr>
            <w:tcW w:w="1448" w:type="dxa"/>
            <w:gridSpan w:val="2"/>
            <w:vAlign w:val="top"/>
          </w:tcPr>
          <w:p>
            <w:pPr>
              <w:pStyle w:val="6"/>
              <w:spacing w:before="94" w:line="236" w:lineRule="auto"/>
              <w:ind w:left="154"/>
              <w:rPr>
                <w:sz w:val="16"/>
                <w:szCs w:val="16"/>
              </w:rPr>
            </w:pPr>
            <w:r>
              <w:rPr>
                <w:spacing w:val="-2"/>
                <w:sz w:val="16"/>
                <w:szCs w:val="16"/>
              </w:rPr>
              <w:t>10000&lt;V≤25000</w:t>
            </w:r>
          </w:p>
        </w:tc>
        <w:tc>
          <w:tcPr>
            <w:tcW w:w="778" w:type="dxa"/>
            <w:vAlign w:val="top"/>
          </w:tcPr>
          <w:p>
            <w:pPr>
              <w:pStyle w:val="6"/>
              <w:spacing w:before="96" w:line="235" w:lineRule="auto"/>
              <w:ind w:left="306"/>
              <w:rPr>
                <w:sz w:val="16"/>
                <w:szCs w:val="16"/>
              </w:rPr>
            </w:pPr>
            <w:r>
              <w:rPr>
                <w:spacing w:val="-5"/>
                <w:sz w:val="16"/>
                <w:szCs w:val="16"/>
              </w:rPr>
              <w:t>15</w:t>
            </w:r>
          </w:p>
        </w:tc>
        <w:tc>
          <w:tcPr>
            <w:tcW w:w="799" w:type="dxa"/>
            <w:vAlign w:val="top"/>
          </w:tcPr>
          <w:p>
            <w:pPr>
              <w:pStyle w:val="6"/>
              <w:spacing w:before="96" w:line="235" w:lineRule="auto"/>
              <w:ind w:left="358"/>
              <w:rPr>
                <w:sz w:val="16"/>
                <w:szCs w:val="16"/>
              </w:rPr>
            </w:pPr>
            <w:r>
              <w:rPr>
                <w:sz w:val="16"/>
                <w:szCs w:val="16"/>
              </w:rPr>
              <w:t>3</w:t>
            </w:r>
          </w:p>
        </w:tc>
        <w:tc>
          <w:tcPr>
            <w:tcW w:w="744" w:type="dxa"/>
            <w:vAlign w:val="top"/>
          </w:tcPr>
          <w:p>
            <w:pPr>
              <w:pStyle w:val="6"/>
              <w:spacing w:before="96" w:line="235"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tcBorders>
            <w:vAlign w:val="top"/>
          </w:tcPr>
          <w:p>
            <w:pPr>
              <w:rPr>
                <w:rFonts w:ascii="Arial"/>
                <w:sz w:val="21"/>
              </w:rPr>
            </w:pPr>
          </w:p>
        </w:tc>
        <w:tc>
          <w:tcPr>
            <w:tcW w:w="1448" w:type="dxa"/>
            <w:gridSpan w:val="2"/>
            <w:vAlign w:val="top"/>
          </w:tcPr>
          <w:p>
            <w:pPr>
              <w:pStyle w:val="6"/>
              <w:spacing w:before="96" w:line="234" w:lineRule="auto"/>
              <w:ind w:left="434"/>
              <w:rPr>
                <w:sz w:val="16"/>
                <w:szCs w:val="16"/>
              </w:rPr>
            </w:pPr>
            <w:r>
              <w:rPr>
                <w:spacing w:val="-1"/>
                <w:sz w:val="16"/>
                <w:szCs w:val="16"/>
              </w:rPr>
              <w:t>V&gt;25000</w:t>
            </w:r>
          </w:p>
        </w:tc>
        <w:tc>
          <w:tcPr>
            <w:tcW w:w="778" w:type="dxa"/>
            <w:vAlign w:val="top"/>
          </w:tcPr>
          <w:p>
            <w:pPr>
              <w:pStyle w:val="6"/>
              <w:spacing w:before="96" w:line="234" w:lineRule="auto"/>
              <w:ind w:left="306"/>
              <w:rPr>
                <w:sz w:val="16"/>
                <w:szCs w:val="16"/>
              </w:rPr>
            </w:pPr>
            <w:r>
              <w:rPr>
                <w:spacing w:val="-3"/>
                <w:sz w:val="16"/>
                <w:szCs w:val="16"/>
              </w:rPr>
              <w:t>20</w:t>
            </w:r>
          </w:p>
        </w:tc>
        <w:tc>
          <w:tcPr>
            <w:tcW w:w="799" w:type="dxa"/>
            <w:vAlign w:val="top"/>
          </w:tcPr>
          <w:p>
            <w:pPr>
              <w:pStyle w:val="6"/>
              <w:spacing w:before="96" w:line="234" w:lineRule="auto"/>
              <w:ind w:left="358"/>
              <w:rPr>
                <w:sz w:val="16"/>
                <w:szCs w:val="16"/>
              </w:rPr>
            </w:pPr>
            <w:r>
              <w:rPr>
                <w:sz w:val="16"/>
                <w:szCs w:val="16"/>
              </w:rPr>
              <w:t>4</w:t>
            </w:r>
          </w:p>
        </w:tc>
        <w:tc>
          <w:tcPr>
            <w:tcW w:w="744" w:type="dxa"/>
            <w:vAlign w:val="top"/>
          </w:tcPr>
          <w:p>
            <w:pPr>
              <w:pStyle w:val="6"/>
              <w:spacing w:before="96" w:line="234"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vMerge w:val="continue"/>
            <w:tcBorders>
              <w:top w:val="nil"/>
              <w:bottom w:val="nil"/>
            </w:tcBorders>
            <w:vAlign w:val="top"/>
          </w:tcPr>
          <w:p>
            <w:pPr>
              <w:rPr>
                <w:rFonts w:ascii="Arial"/>
                <w:sz w:val="21"/>
              </w:rPr>
            </w:pPr>
          </w:p>
        </w:tc>
        <w:tc>
          <w:tcPr>
            <w:tcW w:w="1577" w:type="dxa"/>
            <w:vMerge w:val="restart"/>
            <w:tcBorders>
              <w:bottom w:val="nil"/>
            </w:tcBorders>
            <w:vAlign w:val="top"/>
          </w:tcPr>
          <w:p>
            <w:pPr>
              <w:pStyle w:val="6"/>
              <w:spacing w:before="241" w:line="219" w:lineRule="auto"/>
              <w:ind w:left="11"/>
              <w:rPr>
                <w:sz w:val="16"/>
                <w:szCs w:val="16"/>
              </w:rPr>
            </w:pPr>
            <w:r>
              <w:rPr>
                <w:spacing w:val="2"/>
                <w:sz w:val="16"/>
                <w:szCs w:val="16"/>
              </w:rPr>
              <w:t>自行车库</w:t>
            </w:r>
          </w:p>
        </w:tc>
        <w:tc>
          <w:tcPr>
            <w:tcW w:w="1448" w:type="dxa"/>
            <w:gridSpan w:val="2"/>
            <w:vAlign w:val="top"/>
          </w:tcPr>
          <w:p>
            <w:pPr>
              <w:pStyle w:val="6"/>
              <w:spacing w:before="95" w:line="236" w:lineRule="auto"/>
              <w:ind w:left="434"/>
              <w:rPr>
                <w:sz w:val="16"/>
                <w:szCs w:val="16"/>
              </w:rPr>
            </w:pPr>
            <w:r>
              <w:rPr>
                <w:spacing w:val="-1"/>
                <w:sz w:val="16"/>
                <w:szCs w:val="16"/>
              </w:rPr>
              <w:t>V≤2500</w:t>
            </w:r>
          </w:p>
        </w:tc>
        <w:tc>
          <w:tcPr>
            <w:tcW w:w="778" w:type="dxa"/>
            <w:vAlign w:val="top"/>
          </w:tcPr>
          <w:p>
            <w:pPr>
              <w:pStyle w:val="6"/>
              <w:spacing w:before="97" w:line="234" w:lineRule="auto"/>
              <w:ind w:left="346"/>
              <w:rPr>
                <w:sz w:val="16"/>
                <w:szCs w:val="16"/>
              </w:rPr>
            </w:pPr>
            <w:r>
              <w:rPr>
                <w:sz w:val="16"/>
                <w:szCs w:val="16"/>
              </w:rPr>
              <w:t>5</w:t>
            </w:r>
          </w:p>
        </w:tc>
        <w:tc>
          <w:tcPr>
            <w:tcW w:w="799" w:type="dxa"/>
            <w:vAlign w:val="top"/>
          </w:tcPr>
          <w:p>
            <w:pPr>
              <w:pStyle w:val="6"/>
              <w:spacing w:before="97" w:line="234" w:lineRule="auto"/>
              <w:ind w:left="358"/>
              <w:rPr>
                <w:sz w:val="16"/>
                <w:szCs w:val="16"/>
              </w:rPr>
            </w:pPr>
            <w:r>
              <w:rPr>
                <w:sz w:val="16"/>
                <w:szCs w:val="16"/>
              </w:rPr>
              <w:t>1</w:t>
            </w:r>
          </w:p>
        </w:tc>
        <w:tc>
          <w:tcPr>
            <w:tcW w:w="744" w:type="dxa"/>
            <w:vAlign w:val="top"/>
          </w:tcPr>
          <w:p>
            <w:pPr>
              <w:pStyle w:val="6"/>
              <w:spacing w:before="97" w:line="234" w:lineRule="auto"/>
              <w:ind w:left="328"/>
              <w:rPr>
                <w:sz w:val="16"/>
                <w:szCs w:val="16"/>
              </w:rPr>
            </w:pPr>
            <w:r>
              <w:rPr>
                <w:sz w:val="16"/>
                <w:szCs w:val="16"/>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74" w:type="dxa"/>
            <w:vMerge w:val="continue"/>
            <w:tcBorders>
              <w:top w:val="nil"/>
              <w:bottom w:val="nil"/>
            </w:tcBorders>
            <w:vAlign w:val="top"/>
          </w:tcPr>
          <w:p>
            <w:pPr>
              <w:rPr>
                <w:rFonts w:ascii="Arial"/>
                <w:sz w:val="21"/>
              </w:rPr>
            </w:pPr>
          </w:p>
        </w:tc>
        <w:tc>
          <w:tcPr>
            <w:tcW w:w="1577" w:type="dxa"/>
            <w:vMerge w:val="continue"/>
            <w:tcBorders>
              <w:top w:val="nil"/>
            </w:tcBorders>
            <w:vAlign w:val="top"/>
          </w:tcPr>
          <w:p>
            <w:pPr>
              <w:rPr>
                <w:rFonts w:ascii="Arial"/>
                <w:sz w:val="21"/>
              </w:rPr>
            </w:pPr>
          </w:p>
        </w:tc>
        <w:tc>
          <w:tcPr>
            <w:tcW w:w="1448" w:type="dxa"/>
            <w:gridSpan w:val="2"/>
            <w:vAlign w:val="top"/>
          </w:tcPr>
          <w:p>
            <w:pPr>
              <w:pStyle w:val="6"/>
              <w:spacing w:before="97"/>
              <w:ind w:left="474"/>
              <w:rPr>
                <w:sz w:val="16"/>
                <w:szCs w:val="16"/>
              </w:rPr>
            </w:pPr>
            <w:r>
              <w:rPr>
                <w:spacing w:val="-1"/>
                <w:sz w:val="16"/>
                <w:szCs w:val="16"/>
              </w:rPr>
              <w:t>V&gt;2500</w:t>
            </w:r>
          </w:p>
        </w:tc>
        <w:tc>
          <w:tcPr>
            <w:tcW w:w="778" w:type="dxa"/>
            <w:vAlign w:val="top"/>
          </w:tcPr>
          <w:p>
            <w:pPr>
              <w:pStyle w:val="6"/>
              <w:spacing w:before="97"/>
              <w:ind w:left="306"/>
              <w:rPr>
                <w:sz w:val="16"/>
                <w:szCs w:val="16"/>
              </w:rPr>
            </w:pPr>
            <w:r>
              <w:rPr>
                <w:spacing w:val="-5"/>
                <w:sz w:val="16"/>
                <w:szCs w:val="16"/>
              </w:rPr>
              <w:t>10</w:t>
            </w:r>
          </w:p>
        </w:tc>
        <w:tc>
          <w:tcPr>
            <w:tcW w:w="799" w:type="dxa"/>
            <w:vAlign w:val="top"/>
          </w:tcPr>
          <w:p>
            <w:pPr>
              <w:pStyle w:val="6"/>
              <w:spacing w:before="97" w:line="241" w:lineRule="auto"/>
              <w:ind w:left="358"/>
              <w:rPr>
                <w:sz w:val="16"/>
                <w:szCs w:val="16"/>
              </w:rPr>
            </w:pPr>
            <w:r>
              <w:rPr>
                <w:sz w:val="16"/>
                <w:szCs w:val="16"/>
              </w:rPr>
              <w:t>2</w:t>
            </w:r>
          </w:p>
        </w:tc>
        <w:tc>
          <w:tcPr>
            <w:tcW w:w="744" w:type="dxa"/>
            <w:vAlign w:val="top"/>
          </w:tcPr>
          <w:p>
            <w:pPr>
              <w:pStyle w:val="6"/>
              <w:spacing w:before="97"/>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vMerge w:val="continue"/>
            <w:tcBorders>
              <w:top w:val="nil"/>
              <w:bottom w:val="nil"/>
            </w:tcBorders>
            <w:vAlign w:val="top"/>
          </w:tcPr>
          <w:p>
            <w:pPr>
              <w:rPr>
                <w:rFonts w:ascii="Arial"/>
                <w:sz w:val="21"/>
              </w:rPr>
            </w:pPr>
          </w:p>
        </w:tc>
        <w:tc>
          <w:tcPr>
            <w:tcW w:w="1577" w:type="dxa"/>
            <w:vMerge w:val="restart"/>
            <w:tcBorders>
              <w:bottom w:val="nil"/>
            </w:tcBorders>
            <w:vAlign w:val="top"/>
          </w:tcPr>
          <w:p>
            <w:pPr>
              <w:pStyle w:val="6"/>
              <w:spacing w:before="143" w:line="220" w:lineRule="auto"/>
              <w:ind w:left="11"/>
              <w:rPr>
                <w:sz w:val="16"/>
                <w:szCs w:val="16"/>
              </w:rPr>
            </w:pPr>
            <w:r>
              <w:rPr>
                <w:spacing w:val="-19"/>
                <w:sz w:val="16"/>
                <w:szCs w:val="16"/>
              </w:rPr>
              <w:t>丙、丁、戊类物品库房、</w:t>
            </w:r>
            <w:r>
              <w:rPr>
                <w:spacing w:val="-5"/>
                <w:sz w:val="16"/>
                <w:szCs w:val="16"/>
              </w:rPr>
              <w:t>图书资料档案库</w:t>
            </w:r>
          </w:p>
        </w:tc>
        <w:tc>
          <w:tcPr>
            <w:tcW w:w="1448" w:type="dxa"/>
            <w:gridSpan w:val="2"/>
            <w:vAlign w:val="top"/>
          </w:tcPr>
          <w:p>
            <w:pPr>
              <w:pStyle w:val="6"/>
              <w:spacing w:before="97" w:line="234" w:lineRule="auto"/>
              <w:ind w:left="434"/>
              <w:rPr>
                <w:sz w:val="16"/>
                <w:szCs w:val="16"/>
              </w:rPr>
            </w:pPr>
            <w:r>
              <w:rPr>
                <w:spacing w:val="-1"/>
                <w:sz w:val="16"/>
                <w:szCs w:val="16"/>
              </w:rPr>
              <w:t>V≤3000</w:t>
            </w:r>
          </w:p>
        </w:tc>
        <w:tc>
          <w:tcPr>
            <w:tcW w:w="778" w:type="dxa"/>
            <w:vAlign w:val="top"/>
          </w:tcPr>
          <w:p>
            <w:pPr>
              <w:pStyle w:val="6"/>
              <w:spacing w:before="98" w:line="232" w:lineRule="auto"/>
              <w:ind w:left="346"/>
              <w:rPr>
                <w:sz w:val="16"/>
                <w:szCs w:val="16"/>
              </w:rPr>
            </w:pPr>
            <w:r>
              <w:rPr>
                <w:sz w:val="16"/>
                <w:szCs w:val="16"/>
              </w:rPr>
              <w:t>5</w:t>
            </w:r>
          </w:p>
        </w:tc>
        <w:tc>
          <w:tcPr>
            <w:tcW w:w="799" w:type="dxa"/>
            <w:vAlign w:val="top"/>
          </w:tcPr>
          <w:p>
            <w:pPr>
              <w:pStyle w:val="6"/>
              <w:spacing w:before="98" w:line="232" w:lineRule="auto"/>
              <w:ind w:left="358"/>
              <w:rPr>
                <w:sz w:val="16"/>
                <w:szCs w:val="16"/>
              </w:rPr>
            </w:pPr>
            <w:r>
              <w:rPr>
                <w:sz w:val="16"/>
                <w:szCs w:val="16"/>
              </w:rPr>
              <w:t>1</w:t>
            </w:r>
          </w:p>
        </w:tc>
        <w:tc>
          <w:tcPr>
            <w:tcW w:w="744" w:type="dxa"/>
            <w:vAlign w:val="top"/>
          </w:tcPr>
          <w:p>
            <w:pPr>
              <w:pStyle w:val="6"/>
              <w:spacing w:before="98" w:line="232" w:lineRule="auto"/>
              <w:ind w:left="328"/>
              <w:rPr>
                <w:sz w:val="16"/>
                <w:szCs w:val="16"/>
              </w:rPr>
            </w:pPr>
            <w:r>
              <w:rPr>
                <w:sz w:val="16"/>
                <w:szCs w:val="16"/>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vMerge w:val="continue"/>
            <w:tcBorders>
              <w:top w:val="nil"/>
            </w:tcBorders>
            <w:vAlign w:val="top"/>
          </w:tcPr>
          <w:p>
            <w:pPr>
              <w:rPr>
                <w:rFonts w:ascii="Arial"/>
                <w:sz w:val="21"/>
              </w:rPr>
            </w:pPr>
          </w:p>
        </w:tc>
        <w:tc>
          <w:tcPr>
            <w:tcW w:w="1577" w:type="dxa"/>
            <w:vMerge w:val="continue"/>
            <w:tcBorders>
              <w:top w:val="nil"/>
            </w:tcBorders>
            <w:vAlign w:val="top"/>
          </w:tcPr>
          <w:p>
            <w:pPr>
              <w:rPr>
                <w:rFonts w:ascii="Arial"/>
                <w:sz w:val="21"/>
              </w:rPr>
            </w:pPr>
          </w:p>
        </w:tc>
        <w:tc>
          <w:tcPr>
            <w:tcW w:w="1448" w:type="dxa"/>
            <w:gridSpan w:val="2"/>
            <w:vAlign w:val="top"/>
          </w:tcPr>
          <w:p>
            <w:pPr>
              <w:pStyle w:val="6"/>
              <w:spacing w:before="88" w:line="232" w:lineRule="auto"/>
              <w:ind w:left="474"/>
              <w:rPr>
                <w:sz w:val="16"/>
                <w:szCs w:val="16"/>
              </w:rPr>
            </w:pPr>
            <w:r>
              <w:rPr>
                <w:spacing w:val="-1"/>
                <w:sz w:val="16"/>
                <w:szCs w:val="16"/>
              </w:rPr>
              <w:t>V&gt;3000</w:t>
            </w:r>
          </w:p>
        </w:tc>
        <w:tc>
          <w:tcPr>
            <w:tcW w:w="778" w:type="dxa"/>
            <w:vAlign w:val="top"/>
          </w:tcPr>
          <w:p>
            <w:pPr>
              <w:pStyle w:val="6"/>
              <w:spacing w:before="88" w:line="232" w:lineRule="auto"/>
              <w:ind w:left="306"/>
              <w:rPr>
                <w:sz w:val="16"/>
                <w:szCs w:val="16"/>
              </w:rPr>
            </w:pPr>
            <w:r>
              <w:rPr>
                <w:spacing w:val="-5"/>
                <w:sz w:val="16"/>
                <w:szCs w:val="16"/>
              </w:rPr>
              <w:t>10</w:t>
            </w:r>
          </w:p>
        </w:tc>
        <w:tc>
          <w:tcPr>
            <w:tcW w:w="799" w:type="dxa"/>
            <w:vAlign w:val="top"/>
          </w:tcPr>
          <w:p>
            <w:pPr>
              <w:pStyle w:val="6"/>
              <w:spacing w:before="88" w:line="232" w:lineRule="auto"/>
              <w:ind w:left="358"/>
              <w:rPr>
                <w:sz w:val="16"/>
                <w:szCs w:val="16"/>
              </w:rPr>
            </w:pPr>
            <w:r>
              <w:rPr>
                <w:sz w:val="16"/>
                <w:szCs w:val="16"/>
              </w:rPr>
              <w:t>2</w:t>
            </w:r>
          </w:p>
        </w:tc>
        <w:tc>
          <w:tcPr>
            <w:tcW w:w="744" w:type="dxa"/>
            <w:vAlign w:val="top"/>
          </w:tcPr>
          <w:p>
            <w:pPr>
              <w:pStyle w:val="6"/>
              <w:spacing w:before="88" w:line="232"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2051" w:type="dxa"/>
            <w:gridSpan w:val="2"/>
            <w:vMerge w:val="restart"/>
            <w:tcBorders>
              <w:bottom w:val="nil"/>
            </w:tcBorders>
            <w:vAlign w:val="top"/>
          </w:tcPr>
          <w:p>
            <w:pPr>
              <w:spacing w:line="248" w:lineRule="auto"/>
              <w:rPr>
                <w:rFonts w:ascii="Arial"/>
                <w:sz w:val="21"/>
              </w:rPr>
            </w:pPr>
          </w:p>
          <w:p>
            <w:pPr>
              <w:spacing w:line="249" w:lineRule="auto"/>
              <w:rPr>
                <w:rFonts w:ascii="Arial"/>
                <w:sz w:val="21"/>
              </w:rPr>
            </w:pPr>
          </w:p>
          <w:p>
            <w:pPr>
              <w:pStyle w:val="6"/>
              <w:spacing w:before="52" w:line="219" w:lineRule="auto"/>
              <w:ind w:left="455"/>
              <w:rPr>
                <w:sz w:val="16"/>
                <w:szCs w:val="16"/>
              </w:rPr>
            </w:pPr>
            <w:r>
              <w:rPr>
                <w:spacing w:val="-1"/>
                <w:sz w:val="16"/>
                <w:szCs w:val="16"/>
              </w:rPr>
              <w:t>汽车库、修车库</w:t>
            </w:r>
          </w:p>
        </w:tc>
        <w:tc>
          <w:tcPr>
            <w:tcW w:w="729" w:type="dxa"/>
            <w:vAlign w:val="top"/>
          </w:tcPr>
          <w:p>
            <w:pPr>
              <w:pStyle w:val="6"/>
              <w:spacing w:before="82" w:line="219" w:lineRule="auto"/>
              <w:ind w:left="114"/>
              <w:rPr>
                <w:sz w:val="16"/>
                <w:szCs w:val="16"/>
              </w:rPr>
            </w:pPr>
            <w:r>
              <w:rPr>
                <w:spacing w:val="-2"/>
                <w:sz w:val="16"/>
                <w:szCs w:val="16"/>
              </w:rPr>
              <w:t>汽车库</w:t>
            </w:r>
          </w:p>
        </w:tc>
        <w:tc>
          <w:tcPr>
            <w:tcW w:w="719" w:type="dxa"/>
            <w:vAlign w:val="top"/>
          </w:tcPr>
          <w:p>
            <w:pPr>
              <w:pStyle w:val="6"/>
              <w:spacing w:before="82" w:line="219" w:lineRule="auto"/>
              <w:ind w:left="114"/>
              <w:rPr>
                <w:sz w:val="16"/>
                <w:szCs w:val="16"/>
              </w:rPr>
            </w:pPr>
            <w:r>
              <w:rPr>
                <w:spacing w:val="-2"/>
                <w:sz w:val="16"/>
                <w:szCs w:val="16"/>
              </w:rPr>
              <w:t>修车库</w:t>
            </w:r>
          </w:p>
        </w:tc>
        <w:tc>
          <w:tcPr>
            <w:tcW w:w="2321" w:type="dxa"/>
            <w:gridSpan w:val="3"/>
            <w:vAlign w:val="top"/>
          </w:tcPr>
          <w:p>
            <w:pPr>
              <w:pStyle w:val="6"/>
              <w:spacing w:before="156" w:line="47" w:lineRule="exact"/>
              <w:ind w:left="1066"/>
              <w:rPr>
                <w:sz w:val="6"/>
                <w:szCs w:val="6"/>
              </w:rPr>
            </w:pPr>
            <w:r>
              <w:rPr>
                <w:position w:val="-1"/>
                <w:sz w:val="6"/>
                <w:szCs w:val="6"/>
              </w:rPr>
              <w:t>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051" w:type="dxa"/>
            <w:gridSpan w:val="2"/>
            <w:vMerge w:val="continue"/>
            <w:tcBorders>
              <w:top w:val="nil"/>
              <w:bottom w:val="nil"/>
            </w:tcBorders>
            <w:vAlign w:val="top"/>
          </w:tcPr>
          <w:p>
            <w:pPr>
              <w:rPr>
                <w:rFonts w:ascii="Arial"/>
                <w:sz w:val="21"/>
              </w:rPr>
            </w:pPr>
          </w:p>
        </w:tc>
        <w:tc>
          <w:tcPr>
            <w:tcW w:w="729" w:type="dxa"/>
            <w:vAlign w:val="top"/>
          </w:tcPr>
          <w:p>
            <w:pPr>
              <w:pStyle w:val="6"/>
              <w:spacing w:before="148" w:line="228" w:lineRule="auto"/>
              <w:ind w:left="193" w:right="123" w:hanging="119"/>
              <w:rPr>
                <w:sz w:val="16"/>
                <w:szCs w:val="16"/>
              </w:rPr>
            </w:pPr>
            <w:r>
              <w:rPr>
                <w:spacing w:val="-10"/>
                <w:sz w:val="16"/>
                <w:szCs w:val="16"/>
              </w:rPr>
              <w:t>I、Ⅱ、</w:t>
            </w:r>
            <w:r>
              <w:rPr>
                <w:spacing w:val="-2"/>
                <w:sz w:val="16"/>
                <w:szCs w:val="16"/>
              </w:rPr>
              <w:t>Ⅲ类</w:t>
            </w:r>
          </w:p>
        </w:tc>
        <w:tc>
          <w:tcPr>
            <w:tcW w:w="719" w:type="dxa"/>
            <w:vAlign w:val="top"/>
          </w:tcPr>
          <w:p>
            <w:pPr>
              <w:pStyle w:val="6"/>
              <w:spacing w:before="137" w:line="235" w:lineRule="auto"/>
              <w:ind w:left="235"/>
              <w:rPr>
                <w:sz w:val="16"/>
                <w:szCs w:val="16"/>
              </w:rPr>
            </w:pPr>
            <w:r>
              <w:rPr>
                <w:spacing w:val="-7"/>
                <w:sz w:val="16"/>
                <w:szCs w:val="16"/>
              </w:rPr>
              <w:t>I、</w:t>
            </w:r>
          </w:p>
          <w:p>
            <w:pPr>
              <w:pStyle w:val="6"/>
              <w:spacing w:before="2" w:line="219" w:lineRule="auto"/>
              <w:ind w:left="195"/>
              <w:rPr>
                <w:sz w:val="16"/>
                <w:szCs w:val="16"/>
              </w:rPr>
            </w:pPr>
            <w:r>
              <w:rPr>
                <w:spacing w:val="-17"/>
                <w:sz w:val="16"/>
                <w:szCs w:val="16"/>
              </w:rPr>
              <w:t>Ⅱ类</w:t>
            </w:r>
          </w:p>
        </w:tc>
        <w:tc>
          <w:tcPr>
            <w:tcW w:w="778" w:type="dxa"/>
            <w:vAlign w:val="top"/>
          </w:tcPr>
          <w:p>
            <w:pPr>
              <w:pStyle w:val="6"/>
              <w:spacing w:before="259"/>
              <w:ind w:left="306"/>
              <w:rPr>
                <w:sz w:val="16"/>
                <w:szCs w:val="16"/>
              </w:rPr>
            </w:pPr>
            <w:r>
              <w:rPr>
                <w:spacing w:val="-5"/>
                <w:sz w:val="16"/>
                <w:szCs w:val="16"/>
              </w:rPr>
              <w:t>10</w:t>
            </w:r>
          </w:p>
        </w:tc>
        <w:tc>
          <w:tcPr>
            <w:tcW w:w="799" w:type="dxa"/>
            <w:vAlign w:val="top"/>
          </w:tcPr>
          <w:p>
            <w:pPr>
              <w:pStyle w:val="6"/>
              <w:spacing w:before="259" w:line="241" w:lineRule="auto"/>
              <w:ind w:left="358"/>
              <w:rPr>
                <w:sz w:val="16"/>
                <w:szCs w:val="16"/>
              </w:rPr>
            </w:pPr>
            <w:r>
              <w:rPr>
                <w:sz w:val="16"/>
                <w:szCs w:val="16"/>
              </w:rPr>
              <w:t>2</w:t>
            </w:r>
          </w:p>
        </w:tc>
        <w:tc>
          <w:tcPr>
            <w:tcW w:w="744" w:type="dxa"/>
            <w:vAlign w:val="top"/>
          </w:tcPr>
          <w:p>
            <w:pPr>
              <w:spacing w:line="265" w:lineRule="auto"/>
              <w:rPr>
                <w:rFonts w:ascii="Arial"/>
                <w:sz w:val="21"/>
              </w:rPr>
            </w:pPr>
          </w:p>
          <w:p>
            <w:pPr>
              <w:pStyle w:val="6"/>
              <w:spacing w:before="52" w:line="124" w:lineRule="exact"/>
              <w:ind w:left="288"/>
              <w:rPr>
                <w:sz w:val="16"/>
                <w:szCs w:val="16"/>
              </w:rPr>
            </w:pPr>
            <w:r>
              <w:rPr>
                <w:position w:val="-3"/>
                <w:sz w:val="16"/>
                <w:szCs w:val="16"/>
              </w:rPr>
              <w:t>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051" w:type="dxa"/>
            <w:gridSpan w:val="2"/>
            <w:vMerge w:val="continue"/>
            <w:tcBorders>
              <w:top w:val="nil"/>
            </w:tcBorders>
            <w:vAlign w:val="top"/>
          </w:tcPr>
          <w:p>
            <w:pPr>
              <w:rPr>
                <w:rFonts w:ascii="Arial"/>
                <w:sz w:val="21"/>
              </w:rPr>
            </w:pPr>
          </w:p>
        </w:tc>
        <w:tc>
          <w:tcPr>
            <w:tcW w:w="729" w:type="dxa"/>
            <w:vAlign w:val="top"/>
          </w:tcPr>
          <w:p>
            <w:pPr>
              <w:pStyle w:val="6"/>
              <w:spacing w:before="74" w:line="219" w:lineRule="auto"/>
              <w:ind w:left="194"/>
              <w:rPr>
                <w:sz w:val="16"/>
                <w:szCs w:val="16"/>
              </w:rPr>
            </w:pPr>
            <w:r>
              <w:rPr>
                <w:sz w:val="16"/>
                <w:szCs w:val="16"/>
              </w:rPr>
              <w:t>IV</w:t>
            </w:r>
            <w:r>
              <w:rPr>
                <w:spacing w:val="6"/>
                <w:sz w:val="16"/>
                <w:szCs w:val="16"/>
              </w:rPr>
              <w:t>类</w:t>
            </w:r>
          </w:p>
        </w:tc>
        <w:tc>
          <w:tcPr>
            <w:tcW w:w="719" w:type="dxa"/>
            <w:vAlign w:val="top"/>
          </w:tcPr>
          <w:p>
            <w:pPr>
              <w:pStyle w:val="6"/>
              <w:spacing w:before="74" w:line="219" w:lineRule="auto"/>
              <w:ind w:left="35"/>
              <w:rPr>
                <w:sz w:val="16"/>
                <w:szCs w:val="16"/>
              </w:rPr>
            </w:pPr>
            <w:r>
              <w:rPr>
                <w:spacing w:val="-1"/>
                <w:sz w:val="16"/>
                <w:szCs w:val="16"/>
              </w:rPr>
              <w:t>Ⅲ、IV类</w:t>
            </w:r>
          </w:p>
        </w:tc>
        <w:tc>
          <w:tcPr>
            <w:tcW w:w="778" w:type="dxa"/>
            <w:vAlign w:val="top"/>
          </w:tcPr>
          <w:p>
            <w:pPr>
              <w:pStyle w:val="6"/>
              <w:spacing w:before="90" w:line="230" w:lineRule="auto"/>
              <w:ind w:left="346"/>
              <w:rPr>
                <w:sz w:val="16"/>
                <w:szCs w:val="16"/>
              </w:rPr>
            </w:pPr>
            <w:r>
              <w:rPr>
                <w:sz w:val="16"/>
                <w:szCs w:val="16"/>
              </w:rPr>
              <w:t>5</w:t>
            </w:r>
          </w:p>
        </w:tc>
        <w:tc>
          <w:tcPr>
            <w:tcW w:w="799" w:type="dxa"/>
            <w:vAlign w:val="top"/>
          </w:tcPr>
          <w:p>
            <w:pPr>
              <w:pStyle w:val="6"/>
              <w:spacing w:before="90" w:line="230" w:lineRule="auto"/>
              <w:ind w:left="358"/>
              <w:rPr>
                <w:sz w:val="16"/>
                <w:szCs w:val="16"/>
              </w:rPr>
            </w:pPr>
            <w:r>
              <w:rPr>
                <w:sz w:val="16"/>
                <w:szCs w:val="16"/>
              </w:rPr>
              <w:t>1</w:t>
            </w:r>
          </w:p>
        </w:tc>
        <w:tc>
          <w:tcPr>
            <w:tcW w:w="744" w:type="dxa"/>
            <w:vAlign w:val="top"/>
          </w:tcPr>
          <w:p>
            <w:pPr>
              <w:pStyle w:val="6"/>
              <w:spacing w:before="150" w:line="124" w:lineRule="exact"/>
              <w:ind w:left="288"/>
              <w:rPr>
                <w:sz w:val="16"/>
                <w:szCs w:val="16"/>
              </w:rPr>
            </w:pPr>
            <w:r>
              <w:rPr>
                <w:position w:val="-3"/>
                <w:sz w:val="16"/>
                <w:szCs w:val="16"/>
              </w:rPr>
              <w:t>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051" w:type="dxa"/>
            <w:gridSpan w:val="2"/>
            <w:vMerge w:val="restart"/>
            <w:tcBorders>
              <w:bottom w:val="nil"/>
            </w:tcBorders>
            <w:vAlign w:val="top"/>
          </w:tcPr>
          <w:p>
            <w:pPr>
              <w:spacing w:line="271" w:lineRule="auto"/>
              <w:rPr>
                <w:rFonts w:ascii="Arial"/>
                <w:sz w:val="21"/>
              </w:rPr>
            </w:pPr>
          </w:p>
          <w:p>
            <w:pPr>
              <w:pStyle w:val="6"/>
              <w:spacing w:before="52" w:line="219" w:lineRule="auto"/>
              <w:ind w:left="375"/>
              <w:rPr>
                <w:sz w:val="16"/>
                <w:szCs w:val="16"/>
              </w:rPr>
            </w:pPr>
            <w:r>
              <w:rPr>
                <w:spacing w:val="1"/>
                <w:sz w:val="16"/>
                <w:szCs w:val="16"/>
              </w:rPr>
              <w:t>电动自行车停车厍</w:t>
            </w:r>
          </w:p>
        </w:tc>
        <w:tc>
          <w:tcPr>
            <w:tcW w:w="1448" w:type="dxa"/>
            <w:gridSpan w:val="2"/>
            <w:vAlign w:val="top"/>
          </w:tcPr>
          <w:p>
            <w:pPr>
              <w:pStyle w:val="6"/>
              <w:spacing w:before="84" w:line="219" w:lineRule="auto"/>
              <w:jc w:val="right"/>
              <w:rPr>
                <w:sz w:val="16"/>
                <w:szCs w:val="16"/>
              </w:rPr>
            </w:pPr>
            <w:r>
              <w:rPr>
                <w:spacing w:val="-2"/>
                <w:sz w:val="16"/>
                <w:szCs w:val="16"/>
              </w:rPr>
              <w:t>大型(停车数&gt;400辆)</w:t>
            </w:r>
          </w:p>
        </w:tc>
        <w:tc>
          <w:tcPr>
            <w:tcW w:w="778" w:type="dxa"/>
            <w:vAlign w:val="top"/>
          </w:tcPr>
          <w:p>
            <w:pPr>
              <w:pStyle w:val="6"/>
              <w:spacing w:before="100" w:line="230" w:lineRule="auto"/>
              <w:ind w:left="306"/>
              <w:rPr>
                <w:sz w:val="16"/>
                <w:szCs w:val="16"/>
              </w:rPr>
            </w:pPr>
            <w:r>
              <w:rPr>
                <w:spacing w:val="-3"/>
                <w:sz w:val="16"/>
                <w:szCs w:val="16"/>
              </w:rPr>
              <w:t>20</w:t>
            </w:r>
          </w:p>
        </w:tc>
        <w:tc>
          <w:tcPr>
            <w:tcW w:w="799" w:type="dxa"/>
            <w:vAlign w:val="top"/>
          </w:tcPr>
          <w:p>
            <w:pPr>
              <w:pStyle w:val="6"/>
              <w:spacing w:before="100" w:line="230" w:lineRule="auto"/>
              <w:ind w:left="358"/>
              <w:rPr>
                <w:sz w:val="16"/>
                <w:szCs w:val="16"/>
              </w:rPr>
            </w:pPr>
            <w:r>
              <w:rPr>
                <w:sz w:val="16"/>
                <w:szCs w:val="16"/>
              </w:rPr>
              <w:t>4</w:t>
            </w:r>
          </w:p>
        </w:tc>
        <w:tc>
          <w:tcPr>
            <w:tcW w:w="744" w:type="dxa"/>
            <w:vAlign w:val="top"/>
          </w:tcPr>
          <w:p>
            <w:pPr>
              <w:pStyle w:val="6"/>
              <w:spacing w:before="100" w:line="230" w:lineRule="auto"/>
              <w:ind w:left="288"/>
              <w:rPr>
                <w:sz w:val="16"/>
                <w:szCs w:val="16"/>
              </w:rPr>
            </w:pPr>
            <w:r>
              <w:rPr>
                <w:spacing w:val="-5"/>
                <w:sz w:val="16"/>
                <w:szCs w:val="1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051" w:type="dxa"/>
            <w:gridSpan w:val="2"/>
            <w:vMerge w:val="continue"/>
            <w:tcBorders>
              <w:top w:val="nil"/>
            </w:tcBorders>
            <w:vAlign w:val="top"/>
          </w:tcPr>
          <w:p>
            <w:pPr>
              <w:rPr>
                <w:rFonts w:ascii="Arial"/>
                <w:sz w:val="21"/>
              </w:rPr>
            </w:pPr>
          </w:p>
        </w:tc>
        <w:tc>
          <w:tcPr>
            <w:tcW w:w="1448" w:type="dxa"/>
            <w:gridSpan w:val="2"/>
            <w:vAlign w:val="top"/>
          </w:tcPr>
          <w:p>
            <w:pPr>
              <w:pStyle w:val="6"/>
              <w:spacing w:before="44" w:line="245" w:lineRule="auto"/>
              <w:ind w:left="233" w:right="117" w:hanging="119"/>
              <w:rPr>
                <w:sz w:val="16"/>
                <w:szCs w:val="16"/>
              </w:rPr>
            </w:pPr>
            <w:r>
              <w:rPr>
                <w:sz w:val="16"/>
                <w:szCs w:val="16"/>
              </w:rPr>
              <w:t>中、小型(停车数</w:t>
            </w:r>
            <w:r>
              <w:rPr>
                <w:spacing w:val="3"/>
                <w:sz w:val="16"/>
                <w:szCs w:val="16"/>
              </w:rPr>
              <w:t>11辆～400辆)</w:t>
            </w:r>
          </w:p>
        </w:tc>
        <w:tc>
          <w:tcPr>
            <w:tcW w:w="778" w:type="dxa"/>
            <w:vAlign w:val="top"/>
          </w:tcPr>
          <w:p>
            <w:pPr>
              <w:pStyle w:val="6"/>
              <w:spacing w:before="180"/>
              <w:ind w:left="306"/>
              <w:rPr>
                <w:sz w:val="16"/>
                <w:szCs w:val="16"/>
              </w:rPr>
            </w:pPr>
            <w:r>
              <w:rPr>
                <w:spacing w:val="-5"/>
                <w:sz w:val="16"/>
                <w:szCs w:val="16"/>
              </w:rPr>
              <w:t>10</w:t>
            </w:r>
          </w:p>
        </w:tc>
        <w:tc>
          <w:tcPr>
            <w:tcW w:w="799" w:type="dxa"/>
            <w:vAlign w:val="top"/>
          </w:tcPr>
          <w:p>
            <w:pPr>
              <w:pStyle w:val="6"/>
              <w:spacing w:before="180" w:line="241" w:lineRule="auto"/>
              <w:ind w:left="358"/>
              <w:rPr>
                <w:sz w:val="16"/>
                <w:szCs w:val="16"/>
              </w:rPr>
            </w:pPr>
            <w:r>
              <w:rPr>
                <w:sz w:val="16"/>
                <w:szCs w:val="16"/>
              </w:rPr>
              <w:t>2</w:t>
            </w:r>
          </w:p>
        </w:tc>
        <w:tc>
          <w:tcPr>
            <w:tcW w:w="744" w:type="dxa"/>
            <w:vAlign w:val="top"/>
          </w:tcPr>
          <w:p>
            <w:pPr>
              <w:pStyle w:val="6"/>
              <w:spacing w:before="180"/>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051" w:type="dxa"/>
            <w:gridSpan w:val="2"/>
            <w:vMerge w:val="restart"/>
            <w:tcBorders>
              <w:bottom w:val="nil"/>
            </w:tcBorders>
            <w:vAlign w:val="top"/>
          </w:tcPr>
          <w:p>
            <w:pPr>
              <w:spacing w:line="250" w:lineRule="auto"/>
              <w:rPr>
                <w:rFonts w:ascii="Arial"/>
                <w:sz w:val="21"/>
              </w:rPr>
            </w:pPr>
          </w:p>
          <w:p>
            <w:pPr>
              <w:spacing w:line="250" w:lineRule="auto"/>
              <w:rPr>
                <w:rFonts w:ascii="Arial"/>
                <w:sz w:val="21"/>
              </w:rPr>
            </w:pPr>
          </w:p>
          <w:p>
            <w:pPr>
              <w:pStyle w:val="6"/>
              <w:spacing w:before="52" w:line="220" w:lineRule="auto"/>
              <w:ind w:left="694"/>
              <w:rPr>
                <w:sz w:val="16"/>
                <w:szCs w:val="16"/>
              </w:rPr>
            </w:pPr>
            <w:r>
              <w:rPr>
                <w:spacing w:val="-2"/>
                <w:sz w:val="16"/>
                <w:szCs w:val="16"/>
              </w:rPr>
              <w:t>地下建筑</w:t>
            </w:r>
          </w:p>
        </w:tc>
        <w:tc>
          <w:tcPr>
            <w:tcW w:w="1448" w:type="dxa"/>
            <w:gridSpan w:val="2"/>
            <w:vAlign w:val="top"/>
          </w:tcPr>
          <w:p>
            <w:pPr>
              <w:pStyle w:val="6"/>
              <w:spacing w:before="89" w:line="231" w:lineRule="auto"/>
              <w:ind w:left="434"/>
              <w:rPr>
                <w:sz w:val="16"/>
                <w:szCs w:val="16"/>
              </w:rPr>
            </w:pPr>
            <w:r>
              <w:rPr>
                <w:spacing w:val="-1"/>
                <w:sz w:val="16"/>
                <w:szCs w:val="16"/>
              </w:rPr>
              <w:t>V≤5000</w:t>
            </w:r>
          </w:p>
        </w:tc>
        <w:tc>
          <w:tcPr>
            <w:tcW w:w="778" w:type="dxa"/>
            <w:vAlign w:val="top"/>
          </w:tcPr>
          <w:p>
            <w:pPr>
              <w:pStyle w:val="6"/>
              <w:spacing w:before="91" w:line="229" w:lineRule="auto"/>
              <w:ind w:left="306"/>
              <w:rPr>
                <w:sz w:val="16"/>
                <w:szCs w:val="16"/>
              </w:rPr>
            </w:pPr>
            <w:r>
              <w:rPr>
                <w:spacing w:val="-5"/>
                <w:sz w:val="16"/>
                <w:szCs w:val="16"/>
              </w:rPr>
              <w:t>10</w:t>
            </w:r>
          </w:p>
        </w:tc>
        <w:tc>
          <w:tcPr>
            <w:tcW w:w="799" w:type="dxa"/>
            <w:vAlign w:val="top"/>
          </w:tcPr>
          <w:p>
            <w:pPr>
              <w:pStyle w:val="6"/>
              <w:spacing w:before="91" w:line="229" w:lineRule="auto"/>
              <w:ind w:left="358"/>
              <w:rPr>
                <w:sz w:val="16"/>
                <w:szCs w:val="16"/>
              </w:rPr>
            </w:pPr>
            <w:r>
              <w:rPr>
                <w:sz w:val="16"/>
                <w:szCs w:val="16"/>
              </w:rPr>
              <w:t>2</w:t>
            </w:r>
          </w:p>
        </w:tc>
        <w:tc>
          <w:tcPr>
            <w:tcW w:w="744" w:type="dxa"/>
            <w:vAlign w:val="top"/>
          </w:tcPr>
          <w:p>
            <w:pPr>
              <w:pStyle w:val="6"/>
              <w:spacing w:before="91" w:line="229" w:lineRule="auto"/>
              <w:ind w:left="288"/>
              <w:rPr>
                <w:sz w:val="16"/>
                <w:szCs w:val="16"/>
              </w:rPr>
            </w:pPr>
            <w:r>
              <w:rPr>
                <w:spacing w:val="-5"/>
                <w:sz w:val="16"/>
                <w:szCs w:val="16"/>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2051" w:type="dxa"/>
            <w:gridSpan w:val="2"/>
            <w:vMerge w:val="continue"/>
            <w:tcBorders>
              <w:top w:val="nil"/>
              <w:bottom w:val="nil"/>
            </w:tcBorders>
            <w:vAlign w:val="top"/>
          </w:tcPr>
          <w:p>
            <w:pPr>
              <w:rPr>
                <w:rFonts w:ascii="Arial"/>
                <w:sz w:val="21"/>
              </w:rPr>
            </w:pPr>
          </w:p>
        </w:tc>
        <w:tc>
          <w:tcPr>
            <w:tcW w:w="1448" w:type="dxa"/>
            <w:gridSpan w:val="2"/>
            <w:vAlign w:val="top"/>
          </w:tcPr>
          <w:p>
            <w:pPr>
              <w:pStyle w:val="6"/>
              <w:spacing w:before="99" w:line="230" w:lineRule="auto"/>
              <w:ind w:left="194"/>
              <w:rPr>
                <w:sz w:val="16"/>
                <w:szCs w:val="16"/>
              </w:rPr>
            </w:pPr>
            <w:r>
              <w:rPr>
                <w:spacing w:val="-1"/>
                <w:sz w:val="16"/>
                <w:szCs w:val="16"/>
              </w:rPr>
              <w:t>5000&lt;V≤10000</w:t>
            </w:r>
          </w:p>
        </w:tc>
        <w:tc>
          <w:tcPr>
            <w:tcW w:w="778" w:type="dxa"/>
            <w:vAlign w:val="top"/>
          </w:tcPr>
          <w:p>
            <w:pPr>
              <w:pStyle w:val="6"/>
              <w:spacing w:before="101" w:line="228" w:lineRule="auto"/>
              <w:ind w:left="306"/>
              <w:rPr>
                <w:sz w:val="16"/>
                <w:szCs w:val="16"/>
              </w:rPr>
            </w:pPr>
            <w:r>
              <w:rPr>
                <w:spacing w:val="-3"/>
                <w:sz w:val="16"/>
                <w:szCs w:val="16"/>
              </w:rPr>
              <w:t>20</w:t>
            </w:r>
          </w:p>
        </w:tc>
        <w:tc>
          <w:tcPr>
            <w:tcW w:w="799" w:type="dxa"/>
            <w:vAlign w:val="top"/>
          </w:tcPr>
          <w:p>
            <w:pPr>
              <w:pStyle w:val="6"/>
              <w:spacing w:before="101" w:line="228" w:lineRule="auto"/>
              <w:ind w:left="358"/>
              <w:rPr>
                <w:sz w:val="16"/>
                <w:szCs w:val="16"/>
              </w:rPr>
            </w:pPr>
            <w:r>
              <w:rPr>
                <w:sz w:val="16"/>
                <w:szCs w:val="16"/>
              </w:rPr>
              <w:t>4</w:t>
            </w:r>
          </w:p>
        </w:tc>
        <w:tc>
          <w:tcPr>
            <w:tcW w:w="744" w:type="dxa"/>
            <w:vAlign w:val="top"/>
          </w:tcPr>
          <w:p>
            <w:pPr>
              <w:pStyle w:val="6"/>
              <w:spacing w:before="101" w:line="228" w:lineRule="auto"/>
              <w:ind w:left="288"/>
              <w:rPr>
                <w:sz w:val="16"/>
                <w:szCs w:val="16"/>
              </w:rPr>
            </w:pPr>
            <w:r>
              <w:rPr>
                <w:spacing w:val="-5"/>
                <w:sz w:val="16"/>
                <w:szCs w:val="1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051" w:type="dxa"/>
            <w:gridSpan w:val="2"/>
            <w:vMerge w:val="continue"/>
            <w:tcBorders>
              <w:top w:val="nil"/>
              <w:bottom w:val="nil"/>
            </w:tcBorders>
            <w:vAlign w:val="top"/>
          </w:tcPr>
          <w:p>
            <w:pPr>
              <w:rPr>
                <w:rFonts w:ascii="Arial"/>
                <w:sz w:val="21"/>
              </w:rPr>
            </w:pPr>
          </w:p>
        </w:tc>
        <w:tc>
          <w:tcPr>
            <w:tcW w:w="1448" w:type="dxa"/>
            <w:gridSpan w:val="2"/>
            <w:vAlign w:val="top"/>
          </w:tcPr>
          <w:p>
            <w:pPr>
              <w:pStyle w:val="6"/>
              <w:spacing w:before="100" w:line="230" w:lineRule="auto"/>
              <w:ind w:left="154"/>
              <w:rPr>
                <w:sz w:val="16"/>
                <w:szCs w:val="16"/>
              </w:rPr>
            </w:pPr>
            <w:r>
              <w:rPr>
                <w:spacing w:val="-2"/>
                <w:sz w:val="16"/>
                <w:szCs w:val="16"/>
              </w:rPr>
              <w:t>10000&lt;V≤25000</w:t>
            </w:r>
          </w:p>
        </w:tc>
        <w:tc>
          <w:tcPr>
            <w:tcW w:w="778" w:type="dxa"/>
            <w:vAlign w:val="top"/>
          </w:tcPr>
          <w:p>
            <w:pPr>
              <w:pStyle w:val="6"/>
              <w:spacing w:before="102" w:line="228" w:lineRule="auto"/>
              <w:ind w:left="306"/>
              <w:rPr>
                <w:sz w:val="16"/>
                <w:szCs w:val="16"/>
              </w:rPr>
            </w:pPr>
            <w:r>
              <w:rPr>
                <w:spacing w:val="-3"/>
                <w:sz w:val="16"/>
                <w:szCs w:val="16"/>
              </w:rPr>
              <w:t>30</w:t>
            </w:r>
          </w:p>
        </w:tc>
        <w:tc>
          <w:tcPr>
            <w:tcW w:w="799" w:type="dxa"/>
            <w:vAlign w:val="top"/>
          </w:tcPr>
          <w:p>
            <w:pPr>
              <w:pStyle w:val="6"/>
              <w:spacing w:before="102" w:line="228" w:lineRule="auto"/>
              <w:ind w:left="358"/>
              <w:rPr>
                <w:sz w:val="16"/>
                <w:szCs w:val="16"/>
              </w:rPr>
            </w:pPr>
            <w:r>
              <w:rPr>
                <w:sz w:val="16"/>
                <w:szCs w:val="16"/>
              </w:rPr>
              <w:t>6</w:t>
            </w:r>
          </w:p>
        </w:tc>
        <w:tc>
          <w:tcPr>
            <w:tcW w:w="744" w:type="dxa"/>
            <w:vAlign w:val="top"/>
          </w:tcPr>
          <w:p>
            <w:pPr>
              <w:pStyle w:val="6"/>
              <w:spacing w:before="102" w:line="228" w:lineRule="auto"/>
              <w:ind w:left="288"/>
              <w:rPr>
                <w:sz w:val="16"/>
                <w:szCs w:val="16"/>
              </w:rPr>
            </w:pPr>
            <w:r>
              <w:rPr>
                <w:spacing w:val="-5"/>
                <w:sz w:val="16"/>
                <w:szCs w:val="1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2051" w:type="dxa"/>
            <w:gridSpan w:val="2"/>
            <w:vMerge w:val="continue"/>
            <w:tcBorders>
              <w:top w:val="nil"/>
            </w:tcBorders>
            <w:vAlign w:val="top"/>
          </w:tcPr>
          <w:p>
            <w:pPr>
              <w:rPr>
                <w:rFonts w:ascii="Arial"/>
                <w:sz w:val="21"/>
              </w:rPr>
            </w:pPr>
          </w:p>
        </w:tc>
        <w:tc>
          <w:tcPr>
            <w:tcW w:w="1448" w:type="dxa"/>
            <w:gridSpan w:val="2"/>
            <w:vAlign w:val="top"/>
          </w:tcPr>
          <w:p>
            <w:pPr>
              <w:pStyle w:val="6"/>
              <w:spacing w:before="92" w:line="234" w:lineRule="auto"/>
              <w:ind w:left="434"/>
              <w:rPr>
                <w:sz w:val="16"/>
                <w:szCs w:val="16"/>
              </w:rPr>
            </w:pPr>
            <w:r>
              <w:rPr>
                <w:spacing w:val="-1"/>
                <w:sz w:val="16"/>
                <w:szCs w:val="16"/>
              </w:rPr>
              <w:t>V&gt;25000</w:t>
            </w:r>
          </w:p>
        </w:tc>
        <w:tc>
          <w:tcPr>
            <w:tcW w:w="778" w:type="dxa"/>
            <w:vAlign w:val="top"/>
          </w:tcPr>
          <w:p>
            <w:pPr>
              <w:pStyle w:val="6"/>
              <w:spacing w:before="92" w:line="234" w:lineRule="auto"/>
              <w:ind w:left="306"/>
              <w:rPr>
                <w:sz w:val="16"/>
                <w:szCs w:val="16"/>
              </w:rPr>
            </w:pPr>
            <w:r>
              <w:rPr>
                <w:spacing w:val="-2"/>
                <w:sz w:val="16"/>
                <w:szCs w:val="16"/>
              </w:rPr>
              <w:t>40</w:t>
            </w:r>
          </w:p>
        </w:tc>
        <w:tc>
          <w:tcPr>
            <w:tcW w:w="799" w:type="dxa"/>
            <w:vAlign w:val="top"/>
          </w:tcPr>
          <w:p>
            <w:pPr>
              <w:pStyle w:val="6"/>
              <w:spacing w:before="92" w:line="234" w:lineRule="auto"/>
              <w:ind w:left="358"/>
              <w:rPr>
                <w:sz w:val="16"/>
                <w:szCs w:val="16"/>
              </w:rPr>
            </w:pPr>
            <w:r>
              <w:rPr>
                <w:sz w:val="16"/>
                <w:szCs w:val="16"/>
              </w:rPr>
              <w:t>8</w:t>
            </w:r>
          </w:p>
        </w:tc>
        <w:tc>
          <w:tcPr>
            <w:tcW w:w="744" w:type="dxa"/>
            <w:vAlign w:val="top"/>
          </w:tcPr>
          <w:p>
            <w:pPr>
              <w:pStyle w:val="6"/>
              <w:spacing w:before="92" w:line="234" w:lineRule="auto"/>
              <w:ind w:left="288"/>
              <w:rPr>
                <w:sz w:val="16"/>
                <w:szCs w:val="16"/>
              </w:rPr>
            </w:pPr>
            <w:r>
              <w:rPr>
                <w:spacing w:val="-3"/>
                <w:sz w:val="16"/>
                <w:szCs w:val="16"/>
              </w:rPr>
              <w:t>20</w:t>
            </w:r>
          </w:p>
        </w:tc>
      </w:tr>
    </w:tbl>
    <w:p>
      <w:pPr>
        <w:spacing w:before="101" w:line="256" w:lineRule="auto"/>
        <w:ind w:left="677" w:hanging="490"/>
        <w:rPr>
          <w:rFonts w:ascii="宋体" w:hAnsi="宋体" w:eastAsia="宋体" w:cs="宋体"/>
          <w:sz w:val="16"/>
          <w:szCs w:val="16"/>
        </w:rPr>
      </w:pPr>
      <w:r>
        <w:rPr>
          <w:rFonts w:ascii="宋体" w:hAnsi="宋体" w:eastAsia="宋体" w:cs="宋体"/>
          <w:spacing w:val="-4"/>
          <w:sz w:val="16"/>
          <w:szCs w:val="16"/>
        </w:rPr>
        <w:t>注：1附属在民用建筑内的具有平战结合功能的人防工程，应按民用建筑和人防工</w:t>
      </w:r>
      <w:r>
        <w:rPr>
          <w:rFonts w:ascii="宋体" w:hAnsi="宋体" w:eastAsia="宋体" w:cs="宋体"/>
          <w:spacing w:val="-2"/>
          <w:sz w:val="16"/>
          <w:szCs w:val="16"/>
        </w:rPr>
        <w:t>程分别计算室内消火栓设计流量并取较大值确定。</w:t>
      </w:r>
    </w:p>
    <w:p>
      <w:pPr>
        <w:spacing w:before="83" w:line="241" w:lineRule="auto"/>
        <w:ind w:left="117"/>
        <w:rPr>
          <w:rFonts w:hint="eastAsia" w:ascii="宋体" w:hAnsi="宋体" w:eastAsia="宋体" w:cs="宋体"/>
          <w:sz w:val="24"/>
          <w:szCs w:val="24"/>
          <w:lang w:eastAsia="zh-CN"/>
        </w:rPr>
      </w:pPr>
      <w:r>
        <w:rPr>
          <w:rFonts w:ascii="宋体" w:hAnsi="宋体" w:eastAsia="宋体" w:cs="宋体"/>
          <w:spacing w:val="-2"/>
          <w:sz w:val="24"/>
          <w:szCs w:val="24"/>
        </w:rPr>
        <w:t>—22—</w:t>
      </w:r>
    </w:p>
    <w:p>
      <w:pPr>
        <w:spacing w:line="241" w:lineRule="auto"/>
        <w:rPr>
          <w:rFonts w:ascii="宋体" w:hAnsi="宋体" w:eastAsia="宋体" w:cs="宋体"/>
          <w:sz w:val="24"/>
          <w:szCs w:val="24"/>
        </w:rPr>
        <w:sectPr>
          <w:headerReference r:id="rId34" w:type="default"/>
          <w:footerReference r:id="rId35" w:type="default"/>
          <w:pgSz w:w="8280" w:h="11850"/>
          <w:pgMar w:top="1479" w:right="1201" w:bottom="400" w:left="1202" w:header="1232" w:footer="0" w:gutter="0"/>
          <w:cols w:space="720" w:num="1"/>
        </w:sectPr>
      </w:pPr>
    </w:p>
    <w:p>
      <w:pPr>
        <w:pStyle w:val="2"/>
        <w:spacing w:line="277" w:lineRule="auto"/>
      </w:pPr>
    </w:p>
    <w:p>
      <w:pPr>
        <w:pStyle w:val="2"/>
        <w:spacing w:line="278" w:lineRule="auto"/>
      </w:pPr>
    </w:p>
    <w:p>
      <w:pPr>
        <w:pStyle w:val="2"/>
        <w:spacing w:line="278" w:lineRule="auto"/>
      </w:pPr>
    </w:p>
    <w:p>
      <w:pPr>
        <w:spacing w:before="68" w:line="226" w:lineRule="auto"/>
        <w:ind w:left="639" w:right="27" w:hanging="239"/>
        <w:rPr>
          <w:rFonts w:ascii="宋体" w:hAnsi="宋体" w:eastAsia="宋体" w:cs="宋体"/>
          <w:sz w:val="15"/>
          <w:szCs w:val="15"/>
        </w:rPr>
      </w:pPr>
      <w:r>
        <w:rPr>
          <w:rFonts w:ascii="宋体" w:hAnsi="宋体" w:eastAsia="宋体" w:cs="宋体"/>
          <w:spacing w:val="-21"/>
          <w:w w:val="91"/>
          <w:sz w:val="21"/>
          <w:szCs w:val="21"/>
        </w:rPr>
        <w:t>2建筑高度小于50m的高层商业、图书馆、档案馆等，室内消火栓设计流</w:t>
      </w:r>
      <w:r>
        <w:rPr>
          <w:rFonts w:ascii="宋体" w:hAnsi="宋体" w:eastAsia="宋体" w:cs="宋体"/>
          <w:spacing w:val="13"/>
          <w:sz w:val="15"/>
          <w:szCs w:val="15"/>
        </w:rPr>
        <w:t>量取40</w:t>
      </w:r>
      <w:r>
        <w:rPr>
          <w:rFonts w:ascii="Times New Roman" w:hAnsi="Times New Roman" w:eastAsia="Times New Roman" w:cs="Times New Roman"/>
          <w:spacing w:val="13"/>
          <w:sz w:val="15"/>
          <w:szCs w:val="15"/>
        </w:rPr>
        <w:t>L/s</w:t>
      </w:r>
      <w:r>
        <w:rPr>
          <w:rFonts w:ascii="宋体" w:hAnsi="宋体" w:eastAsia="宋体" w:cs="宋体"/>
          <w:spacing w:val="13"/>
          <w:sz w:val="15"/>
          <w:szCs w:val="15"/>
        </w:rPr>
        <w:t>。</w:t>
      </w:r>
    </w:p>
    <w:p>
      <w:pPr>
        <w:spacing w:before="28" w:line="219" w:lineRule="auto"/>
        <w:ind w:left="400"/>
        <w:rPr>
          <w:rFonts w:ascii="宋体" w:hAnsi="宋体" w:eastAsia="宋体" w:cs="宋体"/>
          <w:sz w:val="15"/>
          <w:szCs w:val="15"/>
        </w:rPr>
      </w:pPr>
      <w:r>
        <w:rPr>
          <w:rFonts w:ascii="宋体" w:hAnsi="宋体" w:eastAsia="宋体" w:cs="宋体"/>
          <w:spacing w:val="6"/>
          <w:sz w:val="15"/>
          <w:szCs w:val="15"/>
        </w:rPr>
        <w:t>3非住宿的培训中心参照办公楼、教学楼类建筑的室内消火栓设计流量。</w:t>
      </w:r>
    </w:p>
    <w:p>
      <w:pPr>
        <w:spacing w:before="12" w:line="219" w:lineRule="auto"/>
        <w:ind w:left="400"/>
        <w:rPr>
          <w:rFonts w:ascii="宋体" w:hAnsi="宋体" w:eastAsia="宋体" w:cs="宋体"/>
          <w:sz w:val="15"/>
          <w:szCs w:val="15"/>
        </w:rPr>
      </w:pPr>
      <w:r>
        <w:rPr>
          <w:rFonts w:ascii="宋体" w:hAnsi="宋体" w:eastAsia="宋体" w:cs="宋体"/>
          <w:spacing w:val="4"/>
          <w:sz w:val="15"/>
          <w:szCs w:val="15"/>
        </w:rPr>
        <w:t>4餐饮、网吧、洗浴中心等参照商业类建筑的</w:t>
      </w:r>
      <w:r>
        <w:rPr>
          <w:rFonts w:ascii="宋体" w:hAnsi="宋体" w:eastAsia="宋体" w:cs="宋体"/>
          <w:spacing w:val="3"/>
          <w:sz w:val="15"/>
          <w:szCs w:val="15"/>
        </w:rPr>
        <w:t>室内消火栓设计流量。</w:t>
      </w:r>
    </w:p>
    <w:p>
      <w:pPr>
        <w:spacing w:before="21" w:line="233" w:lineRule="auto"/>
        <w:ind w:left="639" w:right="48" w:hanging="239"/>
        <w:rPr>
          <w:rFonts w:ascii="宋体" w:hAnsi="宋体" w:eastAsia="宋体" w:cs="宋体"/>
          <w:sz w:val="15"/>
          <w:szCs w:val="15"/>
        </w:rPr>
      </w:pPr>
      <w:r>
        <w:rPr>
          <w:rFonts w:ascii="宋体" w:hAnsi="宋体" w:eastAsia="宋体" w:cs="宋体"/>
          <w:spacing w:val="4"/>
          <w:sz w:val="15"/>
          <w:szCs w:val="15"/>
        </w:rPr>
        <w:t>5地下建筑是指独立建造的地下建筑物</w:t>
      </w:r>
      <w:r>
        <w:rPr>
          <w:rFonts w:ascii="宋体" w:hAnsi="宋体" w:eastAsia="宋体" w:cs="宋体"/>
          <w:spacing w:val="3"/>
          <w:sz w:val="15"/>
          <w:szCs w:val="15"/>
        </w:rPr>
        <w:t>，如地铁、隧道、人防工程、地下商场等</w:t>
      </w:r>
      <w:r>
        <w:rPr>
          <w:rFonts w:ascii="宋体" w:hAnsi="宋体" w:eastAsia="宋体" w:cs="宋体"/>
          <w:spacing w:val="6"/>
          <w:sz w:val="15"/>
          <w:szCs w:val="15"/>
        </w:rPr>
        <w:t>建筑；为地下建筑服务的地上建筑面积应计入地下建筑</w:t>
      </w:r>
      <w:r>
        <w:rPr>
          <w:rFonts w:ascii="宋体" w:hAnsi="宋体" w:eastAsia="宋体" w:cs="宋体"/>
          <w:spacing w:val="5"/>
          <w:sz w:val="15"/>
          <w:szCs w:val="15"/>
        </w:rPr>
        <w:t>内。</w:t>
      </w:r>
    </w:p>
    <w:p>
      <w:pPr>
        <w:spacing w:before="2" w:line="237" w:lineRule="auto"/>
        <w:ind w:left="639" w:right="36" w:hanging="239"/>
        <w:rPr>
          <w:rFonts w:ascii="宋体" w:hAnsi="宋体" w:eastAsia="宋体" w:cs="宋体"/>
          <w:sz w:val="15"/>
          <w:szCs w:val="15"/>
        </w:rPr>
      </w:pPr>
      <w:r>
        <w:rPr>
          <w:rFonts w:ascii="宋体" w:hAnsi="宋体" w:eastAsia="宋体" w:cs="宋体"/>
          <w:spacing w:val="8"/>
          <w:sz w:val="15"/>
          <w:szCs w:val="15"/>
        </w:rPr>
        <w:t>6当一座建筑有多种使用功能且各种功能在防火分隔完善的情况下，不同使用功能场所的室内消火栓设计流量按其总体积、总高度或总座位数等分别计算并取其中最大值确定。</w:t>
      </w:r>
    </w:p>
    <w:p>
      <w:pPr>
        <w:spacing w:before="22" w:line="219" w:lineRule="auto"/>
        <w:ind w:left="400"/>
        <w:rPr>
          <w:rFonts w:ascii="宋体" w:hAnsi="宋体" w:eastAsia="宋体" w:cs="宋体"/>
          <w:sz w:val="15"/>
          <w:szCs w:val="15"/>
        </w:rPr>
      </w:pPr>
      <w:r>
        <w:rPr>
          <w:rFonts w:ascii="宋体" w:hAnsi="宋体" w:eastAsia="宋体" w:cs="宋体"/>
          <w:spacing w:val="7"/>
          <w:sz w:val="15"/>
          <w:szCs w:val="15"/>
        </w:rPr>
        <w:t>7高层建筑各室内消防给水系统同时开启时，室内消火栓设计流量不应</w:t>
      </w:r>
      <w:r>
        <w:rPr>
          <w:rFonts w:ascii="宋体" w:hAnsi="宋体" w:eastAsia="宋体" w:cs="宋体"/>
          <w:spacing w:val="6"/>
          <w:sz w:val="15"/>
          <w:szCs w:val="15"/>
        </w:rPr>
        <w:t>减少。</w:t>
      </w:r>
    </w:p>
    <w:p>
      <w:pPr>
        <w:spacing w:before="11" w:line="227" w:lineRule="auto"/>
        <w:ind w:left="639" w:right="47" w:hanging="239"/>
        <w:rPr>
          <w:rFonts w:ascii="宋体" w:hAnsi="宋体" w:eastAsia="宋体" w:cs="宋体"/>
          <w:sz w:val="15"/>
          <w:szCs w:val="15"/>
        </w:rPr>
      </w:pPr>
      <w:r>
        <w:rPr>
          <w:rFonts w:ascii="宋体" w:hAnsi="宋体" w:eastAsia="宋体" w:cs="宋体"/>
          <w:spacing w:val="8"/>
          <w:sz w:val="15"/>
          <w:szCs w:val="15"/>
        </w:rPr>
        <w:t>8当地下建筑与人防工程规定不一致时，室内消火栓设计流量</w:t>
      </w:r>
      <w:r>
        <w:rPr>
          <w:rFonts w:ascii="宋体" w:hAnsi="宋体" w:eastAsia="宋体" w:cs="宋体"/>
          <w:spacing w:val="7"/>
          <w:sz w:val="15"/>
          <w:szCs w:val="15"/>
        </w:rPr>
        <w:t>应分别计算并取</w:t>
      </w:r>
      <w:r>
        <w:rPr>
          <w:rFonts w:ascii="宋体" w:hAnsi="宋体" w:eastAsia="宋体" w:cs="宋体"/>
          <w:spacing w:val="8"/>
          <w:sz w:val="15"/>
          <w:szCs w:val="15"/>
        </w:rPr>
        <w:t>较大值。</w:t>
      </w:r>
    </w:p>
    <w:p>
      <w:pPr>
        <w:pStyle w:val="2"/>
        <w:spacing w:line="299" w:lineRule="auto"/>
      </w:pPr>
    </w:p>
    <w:p>
      <w:pPr>
        <w:spacing w:before="69" w:line="221" w:lineRule="auto"/>
        <w:ind w:left="1952"/>
        <w:outlineLvl w:val="1"/>
        <w:rPr>
          <w:rFonts w:ascii="黑体" w:hAnsi="黑体" w:eastAsia="黑体" w:cs="黑体"/>
          <w:sz w:val="21"/>
          <w:szCs w:val="21"/>
        </w:rPr>
      </w:pPr>
      <w:bookmarkStart w:id="25" w:name="bookmark18"/>
      <w:bookmarkEnd w:id="25"/>
      <w:r>
        <w:rPr>
          <w:rFonts w:ascii="宋体" w:hAnsi="宋体" w:eastAsia="宋体" w:cs="宋体"/>
          <w:b/>
          <w:bCs/>
          <w:spacing w:val="-5"/>
          <w:sz w:val="21"/>
          <w:szCs w:val="21"/>
        </w:rPr>
        <w:t>5.3</w:t>
      </w:r>
      <w:r>
        <w:rPr>
          <w:rFonts w:ascii="黑体" w:hAnsi="黑体" w:eastAsia="黑体" w:cs="黑体"/>
          <w:b/>
          <w:bCs/>
          <w:spacing w:val="-5"/>
          <w:sz w:val="21"/>
          <w:szCs w:val="21"/>
        </w:rPr>
        <w:t>室外消火栓系统</w:t>
      </w:r>
    </w:p>
    <w:p>
      <w:pPr>
        <w:pStyle w:val="2"/>
        <w:spacing w:line="293" w:lineRule="auto"/>
      </w:pPr>
    </w:p>
    <w:p>
      <w:pPr>
        <w:spacing w:before="68" w:line="246" w:lineRule="auto"/>
        <w:ind w:right="46"/>
        <w:rPr>
          <w:rFonts w:ascii="宋体" w:hAnsi="宋体" w:eastAsia="宋体" w:cs="宋体"/>
          <w:sz w:val="21"/>
          <w:szCs w:val="21"/>
        </w:rPr>
      </w:pPr>
      <w:r>
        <w:rPr>
          <w:rFonts w:ascii="宋体" w:hAnsi="宋体" w:eastAsia="宋体" w:cs="宋体"/>
          <w:spacing w:val="6"/>
          <w:sz w:val="21"/>
          <w:szCs w:val="21"/>
        </w:rPr>
        <w:t>5.3.1室外消火栓应采用地上式。地上式室外消火栓应有1个</w:t>
      </w:r>
      <w:r>
        <w:rPr>
          <w:rFonts w:ascii="Times New Roman" w:hAnsi="Times New Roman" w:eastAsia="Times New Roman" w:cs="Times New Roman"/>
          <w:sz w:val="21"/>
          <w:szCs w:val="21"/>
        </w:rPr>
        <w:t>DN100</w:t>
      </w:r>
      <w:r>
        <w:rPr>
          <w:rFonts w:ascii="宋体" w:hAnsi="宋体" w:eastAsia="宋体" w:cs="宋体"/>
          <w:sz w:val="21"/>
          <w:szCs w:val="21"/>
        </w:rPr>
        <w:t>和2个</w:t>
      </w:r>
      <w:r>
        <w:rPr>
          <w:rFonts w:ascii="Times New Roman" w:hAnsi="Times New Roman" w:eastAsia="Times New Roman" w:cs="Times New Roman"/>
          <w:sz w:val="21"/>
          <w:szCs w:val="21"/>
        </w:rPr>
        <w:t>DN65</w:t>
      </w:r>
      <w:r>
        <w:rPr>
          <w:rFonts w:ascii="宋体" w:hAnsi="宋体" w:eastAsia="宋体" w:cs="宋体"/>
          <w:sz w:val="21"/>
          <w:szCs w:val="21"/>
        </w:rPr>
        <w:t>的栓口。</w:t>
      </w:r>
    </w:p>
    <w:p>
      <w:pPr>
        <w:spacing w:before="49" w:line="219" w:lineRule="auto"/>
        <w:rPr>
          <w:rFonts w:ascii="宋体" w:hAnsi="宋体" w:eastAsia="宋体" w:cs="宋体"/>
          <w:sz w:val="21"/>
          <w:szCs w:val="21"/>
        </w:rPr>
      </w:pPr>
      <w:r>
        <w:rPr>
          <w:rFonts w:ascii="宋体" w:hAnsi="宋体" w:eastAsia="宋体" w:cs="宋体"/>
          <w:spacing w:val="-1"/>
          <w:sz w:val="21"/>
          <w:szCs w:val="21"/>
        </w:rPr>
        <w:t>5.3.2室外消火栓的布置应符合下列规定：</w:t>
      </w:r>
    </w:p>
    <w:p>
      <w:pPr>
        <w:spacing w:before="53" w:line="250" w:lineRule="auto"/>
        <w:ind w:right="45" w:firstLine="400"/>
        <w:rPr>
          <w:rFonts w:ascii="宋体" w:hAnsi="宋体" w:eastAsia="宋体" w:cs="宋体"/>
          <w:sz w:val="21"/>
          <w:szCs w:val="21"/>
        </w:rPr>
      </w:pPr>
      <w:r>
        <w:rPr>
          <w:rFonts w:ascii="Times New Roman" w:hAnsi="Times New Roman" w:eastAsia="Times New Roman" w:cs="Times New Roman"/>
          <w:spacing w:val="10"/>
          <w:sz w:val="21"/>
          <w:szCs w:val="21"/>
        </w:rPr>
        <w:t>1</w:t>
      </w:r>
      <w:r>
        <w:rPr>
          <w:rFonts w:ascii="宋体" w:hAnsi="宋体" w:eastAsia="宋体" w:cs="宋体"/>
          <w:spacing w:val="10"/>
          <w:sz w:val="21"/>
          <w:szCs w:val="21"/>
        </w:rPr>
        <w:t>当道路宽度大于60</w:t>
      </w:r>
      <w:r>
        <w:rPr>
          <w:rFonts w:ascii="Times New Roman" w:hAnsi="Times New Roman" w:eastAsia="Times New Roman" w:cs="Times New Roman"/>
          <w:spacing w:val="10"/>
          <w:sz w:val="21"/>
          <w:szCs w:val="21"/>
        </w:rPr>
        <w:t>m</w:t>
      </w:r>
      <w:r>
        <w:rPr>
          <w:rFonts w:ascii="宋体" w:hAnsi="宋体" w:eastAsia="宋体" w:cs="宋体"/>
          <w:spacing w:val="10"/>
          <w:sz w:val="21"/>
          <w:szCs w:val="21"/>
        </w:rPr>
        <w:t>时，室外消火</w:t>
      </w:r>
      <w:r>
        <w:rPr>
          <w:rFonts w:ascii="宋体" w:hAnsi="宋体" w:eastAsia="宋体" w:cs="宋体"/>
          <w:spacing w:val="9"/>
          <w:sz w:val="21"/>
          <w:szCs w:val="21"/>
        </w:rPr>
        <w:t>栓宜设置在道路两</w:t>
      </w:r>
      <w:r>
        <w:rPr>
          <w:rFonts w:ascii="宋体" w:hAnsi="宋体" w:eastAsia="宋体" w:cs="宋体"/>
          <w:spacing w:val="-10"/>
          <w:sz w:val="21"/>
          <w:szCs w:val="21"/>
        </w:rPr>
        <w:t>边，并宜靠近十字路口。</w:t>
      </w:r>
    </w:p>
    <w:p>
      <w:pPr>
        <w:spacing w:before="39" w:line="242" w:lineRule="auto"/>
        <w:ind w:right="46" w:firstLine="400"/>
        <w:rPr>
          <w:rFonts w:ascii="宋体" w:hAnsi="宋体" w:eastAsia="宋体" w:cs="宋体"/>
          <w:sz w:val="21"/>
          <w:szCs w:val="21"/>
        </w:rPr>
      </w:pPr>
      <w:r>
        <w:rPr>
          <w:rFonts w:ascii="宋体" w:hAnsi="宋体" w:eastAsia="宋体" w:cs="宋体"/>
          <w:spacing w:val="4"/>
          <w:sz w:val="21"/>
          <w:szCs w:val="21"/>
        </w:rPr>
        <w:t>2当建筑的室内消防给水系统设有水泵接合</w:t>
      </w:r>
      <w:r>
        <w:rPr>
          <w:rFonts w:ascii="宋体" w:hAnsi="宋体" w:eastAsia="宋体" w:cs="宋体"/>
          <w:spacing w:val="3"/>
          <w:sz w:val="21"/>
          <w:szCs w:val="21"/>
        </w:rPr>
        <w:t>器时，在建筑</w:t>
      </w:r>
      <w:r>
        <w:rPr>
          <w:rFonts w:ascii="宋体" w:hAnsi="宋体" w:eastAsia="宋体" w:cs="宋体"/>
          <w:spacing w:val="-2"/>
          <w:sz w:val="21"/>
          <w:szCs w:val="21"/>
        </w:rPr>
        <w:t>的5m～40m范围内的市政消火栓可计入室</w:t>
      </w:r>
      <w:r>
        <w:rPr>
          <w:rFonts w:ascii="宋体" w:hAnsi="宋体" w:eastAsia="宋体" w:cs="宋体"/>
          <w:spacing w:val="-3"/>
          <w:sz w:val="21"/>
          <w:szCs w:val="21"/>
        </w:rPr>
        <w:t>外消火栓的数量。</w:t>
      </w:r>
    </w:p>
    <w:p>
      <w:pPr>
        <w:spacing w:before="50" w:line="242" w:lineRule="auto"/>
        <w:ind w:right="47" w:firstLine="400"/>
        <w:rPr>
          <w:rFonts w:ascii="宋体" w:hAnsi="宋体" w:eastAsia="宋体" w:cs="宋体"/>
          <w:sz w:val="21"/>
          <w:szCs w:val="21"/>
        </w:rPr>
      </w:pPr>
      <w:r>
        <w:rPr>
          <w:rFonts w:ascii="宋体" w:hAnsi="宋体" w:eastAsia="宋体" w:cs="宋体"/>
          <w:spacing w:val="4"/>
          <w:sz w:val="21"/>
          <w:szCs w:val="21"/>
        </w:rPr>
        <w:t>3当建筑的室内消防给水系统不设水泵接合器时，在建筑</w:t>
      </w:r>
      <w:r>
        <w:rPr>
          <w:rFonts w:ascii="宋体" w:hAnsi="宋体" w:eastAsia="宋体" w:cs="宋体"/>
          <w:spacing w:val="-1"/>
          <w:sz w:val="21"/>
          <w:szCs w:val="21"/>
        </w:rPr>
        <w:t>的5m～150m范围内的市政消火栓可计入室</w:t>
      </w:r>
      <w:r>
        <w:rPr>
          <w:rFonts w:ascii="宋体" w:hAnsi="宋体" w:eastAsia="宋体" w:cs="宋体"/>
          <w:spacing w:val="-2"/>
          <w:sz w:val="21"/>
          <w:szCs w:val="21"/>
        </w:rPr>
        <w:t>外消火栓的数量。</w:t>
      </w:r>
    </w:p>
    <w:p>
      <w:pPr>
        <w:spacing w:before="49" w:line="242" w:lineRule="auto"/>
        <w:ind w:firstLine="400"/>
        <w:rPr>
          <w:rFonts w:ascii="宋体" w:hAnsi="宋体" w:eastAsia="宋体" w:cs="宋体"/>
          <w:sz w:val="21"/>
          <w:szCs w:val="21"/>
        </w:rPr>
      </w:pPr>
      <w:r>
        <w:rPr>
          <w:rFonts w:ascii="宋体" w:hAnsi="宋体" w:eastAsia="宋体" w:cs="宋体"/>
          <w:spacing w:val="10"/>
          <w:sz w:val="21"/>
          <w:szCs w:val="21"/>
        </w:rPr>
        <w:t>4建筑消防扑救面一侧的室外消火栓数量不宜少于2个；</w:t>
      </w:r>
      <w:r>
        <w:rPr>
          <w:rFonts w:ascii="宋体" w:hAnsi="宋体" w:eastAsia="宋体" w:cs="宋体"/>
          <w:spacing w:val="4"/>
          <w:sz w:val="21"/>
          <w:szCs w:val="21"/>
        </w:rPr>
        <w:t>室外消火栓距建筑消防扑救面不宜大于40</w:t>
      </w:r>
      <w:r>
        <w:rPr>
          <w:rFonts w:ascii="Times New Roman" w:hAnsi="Times New Roman" w:eastAsia="Times New Roman" w:cs="Times New Roman"/>
          <w:spacing w:val="4"/>
          <w:sz w:val="21"/>
          <w:szCs w:val="21"/>
        </w:rPr>
        <w:t>m</w:t>
      </w:r>
      <w:r>
        <w:rPr>
          <w:rFonts w:ascii="宋体" w:hAnsi="宋体" w:eastAsia="宋体" w:cs="宋体"/>
          <w:spacing w:val="4"/>
          <w:sz w:val="21"/>
          <w:szCs w:val="21"/>
        </w:rPr>
        <w:t>。</w:t>
      </w:r>
    </w:p>
    <w:p>
      <w:pPr>
        <w:spacing w:before="89" w:line="251" w:lineRule="auto"/>
        <w:ind w:right="64" w:firstLine="400"/>
        <w:rPr>
          <w:rFonts w:ascii="宋体" w:hAnsi="宋体" w:eastAsia="宋体" w:cs="宋体"/>
          <w:sz w:val="21"/>
          <w:szCs w:val="21"/>
        </w:rPr>
      </w:pPr>
      <w:r>
        <w:rPr>
          <w:rFonts w:ascii="宋体" w:hAnsi="宋体" w:eastAsia="宋体" w:cs="宋体"/>
          <w:spacing w:val="-5"/>
          <w:sz w:val="21"/>
          <w:szCs w:val="21"/>
        </w:rPr>
        <w:t>5人防工程、地下工程等建筑，应在出入口附近设置室外消</w:t>
      </w:r>
      <w:r>
        <w:rPr>
          <w:rFonts w:ascii="宋体" w:hAnsi="宋体" w:eastAsia="宋体" w:cs="宋体"/>
          <w:spacing w:val="3"/>
          <w:sz w:val="21"/>
          <w:szCs w:val="21"/>
        </w:rPr>
        <w:t>火栓，且距出入口的距离不宜小于5</w:t>
      </w:r>
      <w:r>
        <w:rPr>
          <w:rFonts w:ascii="Times New Roman" w:hAnsi="Times New Roman" w:eastAsia="Times New Roman" w:cs="Times New Roman"/>
          <w:spacing w:val="3"/>
          <w:sz w:val="21"/>
          <w:szCs w:val="21"/>
        </w:rPr>
        <w:t>m</w:t>
      </w:r>
      <w:r>
        <w:rPr>
          <w:rFonts w:ascii="宋体" w:hAnsi="宋体" w:eastAsia="宋体" w:cs="宋体"/>
          <w:spacing w:val="3"/>
          <w:sz w:val="21"/>
          <w:szCs w:val="21"/>
        </w:rPr>
        <w:t>且不宜大于40</w:t>
      </w:r>
      <w:r>
        <w:rPr>
          <w:rFonts w:ascii="Times New Roman" w:hAnsi="Times New Roman" w:eastAsia="Times New Roman" w:cs="Times New Roman"/>
          <w:spacing w:val="3"/>
          <w:sz w:val="21"/>
          <w:szCs w:val="21"/>
        </w:rPr>
        <w:t>m</w:t>
      </w:r>
      <w:r>
        <w:rPr>
          <w:rFonts w:ascii="宋体" w:hAnsi="宋体" w:eastAsia="宋体" w:cs="宋体"/>
          <w:spacing w:val="3"/>
          <w:sz w:val="21"/>
          <w:szCs w:val="21"/>
        </w:rPr>
        <w:t>。</w:t>
      </w:r>
    </w:p>
    <w:p>
      <w:pPr>
        <w:spacing w:before="60" w:line="242" w:lineRule="auto"/>
        <w:ind w:right="73" w:firstLine="400"/>
        <w:rPr>
          <w:rFonts w:ascii="宋体" w:hAnsi="宋体" w:eastAsia="宋体" w:cs="宋体"/>
          <w:sz w:val="21"/>
          <w:szCs w:val="21"/>
        </w:rPr>
      </w:pPr>
      <w:r>
        <w:rPr>
          <w:rFonts w:ascii="宋体" w:hAnsi="宋体" w:eastAsia="宋体" w:cs="宋体"/>
          <w:spacing w:val="3"/>
          <w:sz w:val="21"/>
          <w:szCs w:val="21"/>
        </w:rPr>
        <w:t>6当室外消防给水引入管设置倒流防止器时</w:t>
      </w:r>
      <w:r>
        <w:rPr>
          <w:rFonts w:ascii="宋体" w:hAnsi="宋体" w:eastAsia="宋体" w:cs="宋体"/>
          <w:spacing w:val="2"/>
          <w:sz w:val="21"/>
          <w:szCs w:val="21"/>
        </w:rPr>
        <w:t>，应在倒流防</w:t>
      </w:r>
      <w:r>
        <w:rPr>
          <w:rFonts w:ascii="宋体" w:hAnsi="宋体" w:eastAsia="宋体" w:cs="宋体"/>
          <w:spacing w:val="6"/>
          <w:sz w:val="21"/>
          <w:szCs w:val="21"/>
        </w:rPr>
        <w:t>止器前增设1个室外消火栓。</w:t>
      </w:r>
    </w:p>
    <w:p>
      <w:pPr>
        <w:pStyle w:val="2"/>
        <w:spacing w:line="295" w:lineRule="auto"/>
      </w:pPr>
    </w:p>
    <w:p>
      <w:pPr>
        <w:spacing w:before="69" w:line="221" w:lineRule="auto"/>
        <w:ind w:left="1922"/>
        <w:outlineLvl w:val="1"/>
        <w:rPr>
          <w:rFonts w:ascii="黑体" w:hAnsi="黑体" w:eastAsia="黑体" w:cs="黑体"/>
          <w:sz w:val="21"/>
          <w:szCs w:val="21"/>
        </w:rPr>
      </w:pPr>
      <w:bookmarkStart w:id="26" w:name="bookmark19"/>
      <w:bookmarkEnd w:id="26"/>
      <w:r>
        <w:rPr>
          <w:rFonts w:ascii="宋体" w:hAnsi="宋体" w:eastAsia="宋体" w:cs="宋体"/>
          <w:b/>
          <w:bCs/>
          <w:spacing w:val="-5"/>
          <w:sz w:val="21"/>
          <w:szCs w:val="21"/>
        </w:rPr>
        <w:t>5.4</w:t>
      </w:r>
      <w:r>
        <w:rPr>
          <w:rFonts w:ascii="黑体" w:hAnsi="黑体" w:eastAsia="黑体" w:cs="黑体"/>
          <w:b/>
          <w:bCs/>
          <w:spacing w:val="-5"/>
          <w:sz w:val="21"/>
          <w:szCs w:val="21"/>
        </w:rPr>
        <w:t>室内消火栓系统</w:t>
      </w:r>
    </w:p>
    <w:p>
      <w:pPr>
        <w:pStyle w:val="2"/>
        <w:spacing w:line="303" w:lineRule="auto"/>
      </w:pPr>
    </w:p>
    <w:p>
      <w:pPr>
        <w:spacing w:before="69" w:line="219" w:lineRule="auto"/>
        <w:ind w:left="3"/>
        <w:rPr>
          <w:rFonts w:ascii="宋体" w:hAnsi="宋体" w:eastAsia="宋体" w:cs="宋体"/>
          <w:sz w:val="21"/>
          <w:szCs w:val="21"/>
        </w:rPr>
      </w:pPr>
      <w:r>
        <w:rPr>
          <w:rFonts w:ascii="宋体" w:hAnsi="宋体" w:eastAsia="宋体" w:cs="宋体"/>
          <w:b/>
          <w:bCs/>
          <w:spacing w:val="2"/>
          <w:sz w:val="21"/>
          <w:szCs w:val="21"/>
        </w:rPr>
        <w:t>5.4.1</w:t>
      </w:r>
      <w:r>
        <w:rPr>
          <w:rFonts w:ascii="宋体" w:hAnsi="宋体" w:eastAsia="宋体" w:cs="宋体"/>
          <w:spacing w:val="2"/>
          <w:sz w:val="21"/>
          <w:szCs w:val="21"/>
        </w:rPr>
        <w:t>室内消防水压应满足室内消防用水量达到最大时最不利</w:t>
      </w:r>
    </w:p>
    <w:p>
      <w:pPr>
        <w:spacing w:line="219" w:lineRule="auto"/>
        <w:rPr>
          <w:rFonts w:ascii="宋体" w:hAnsi="宋体" w:eastAsia="宋体" w:cs="宋体"/>
          <w:sz w:val="21"/>
          <w:szCs w:val="21"/>
        </w:rPr>
        <w:sectPr>
          <w:headerReference r:id="rId36" w:type="default"/>
          <w:footerReference r:id="rId37" w:type="default"/>
          <w:pgSz w:w="8280" w:h="11850"/>
          <w:pgMar w:top="400" w:right="1175" w:bottom="1320" w:left="1200" w:header="0" w:footer="1047" w:gutter="0"/>
          <w:cols w:space="720" w:num="1"/>
        </w:sectPr>
      </w:pPr>
    </w:p>
    <w:p>
      <w:pPr>
        <w:pStyle w:val="2"/>
        <w:spacing w:line="278" w:lineRule="auto"/>
      </w:pPr>
    </w:p>
    <w:p>
      <w:pPr>
        <w:pStyle w:val="2"/>
        <w:spacing w:line="278" w:lineRule="auto"/>
      </w:pPr>
    </w:p>
    <w:p>
      <w:pPr>
        <w:pStyle w:val="2"/>
        <w:spacing w:line="279" w:lineRule="auto"/>
      </w:pPr>
    </w:p>
    <w:p>
      <w:pPr>
        <w:spacing w:before="68" w:line="219" w:lineRule="auto"/>
        <w:rPr>
          <w:rFonts w:ascii="宋体" w:hAnsi="宋体" w:eastAsia="宋体" w:cs="宋体"/>
          <w:sz w:val="21"/>
          <w:szCs w:val="21"/>
        </w:rPr>
      </w:pPr>
      <w:bookmarkStart w:id="27" w:name="bookmark83"/>
      <w:bookmarkEnd w:id="27"/>
      <w:r>
        <w:rPr>
          <w:rFonts w:ascii="宋体" w:hAnsi="宋体" w:eastAsia="宋体" w:cs="宋体"/>
          <w:spacing w:val="-5"/>
          <w:sz w:val="21"/>
          <w:szCs w:val="21"/>
        </w:rPr>
        <w:t>点灭火设施的水压要求。</w:t>
      </w:r>
    </w:p>
    <w:p>
      <w:pPr>
        <w:spacing w:before="68" w:line="275" w:lineRule="auto"/>
        <w:ind w:right="88"/>
        <w:jc w:val="both"/>
        <w:rPr>
          <w:rFonts w:ascii="宋体" w:hAnsi="宋体" w:eastAsia="宋体" w:cs="宋体"/>
          <w:sz w:val="21"/>
          <w:szCs w:val="21"/>
        </w:rPr>
      </w:pPr>
      <w:r>
        <w:rPr>
          <w:rFonts w:ascii="宋体" w:hAnsi="宋体" w:eastAsia="宋体" w:cs="宋体"/>
          <w:spacing w:val="2"/>
          <w:sz w:val="21"/>
          <w:szCs w:val="21"/>
        </w:rPr>
        <w:t>5.4.2设置室内消火栓给水系统的建筑，</w:t>
      </w:r>
      <w:r>
        <w:rPr>
          <w:rFonts w:ascii="宋体" w:hAnsi="宋体" w:eastAsia="宋体" w:cs="宋体"/>
          <w:spacing w:val="1"/>
          <w:sz w:val="21"/>
          <w:szCs w:val="21"/>
        </w:rPr>
        <w:t>其水枪的充实水柱长</w:t>
      </w:r>
      <w:r>
        <w:rPr>
          <w:rFonts w:ascii="宋体" w:hAnsi="宋体" w:eastAsia="宋体" w:cs="宋体"/>
          <w:spacing w:val="17"/>
          <w:sz w:val="21"/>
          <w:szCs w:val="21"/>
        </w:rPr>
        <w:t>度及栓口动压应由计算确定，其最小值不应小于表5.4.2的</w:t>
      </w:r>
      <w:r>
        <w:rPr>
          <w:rFonts w:ascii="宋体" w:hAnsi="宋体" w:eastAsia="宋体" w:cs="宋体"/>
          <w:spacing w:val="-2"/>
          <w:sz w:val="21"/>
          <w:szCs w:val="21"/>
        </w:rPr>
        <w:t>规定。</w:t>
      </w:r>
    </w:p>
    <w:p>
      <w:pPr>
        <w:spacing w:before="99" w:line="222" w:lineRule="auto"/>
        <w:ind w:left="1522"/>
        <w:rPr>
          <w:rFonts w:ascii="黑体" w:hAnsi="黑体" w:eastAsia="黑体" w:cs="黑体"/>
          <w:sz w:val="21"/>
          <w:szCs w:val="21"/>
        </w:rPr>
      </w:pPr>
      <w:r>
        <w:rPr>
          <w:rFonts w:ascii="黑体" w:hAnsi="黑体" w:eastAsia="黑体" w:cs="黑体"/>
          <w:b/>
          <w:bCs/>
          <w:spacing w:val="-19"/>
          <w:w w:val="97"/>
          <w:sz w:val="21"/>
          <w:szCs w:val="21"/>
        </w:rPr>
        <w:t>表5.4.2水枪的最小充实水柱长度</w:t>
      </w:r>
    </w:p>
    <w:p>
      <w:pPr>
        <w:spacing w:line="58" w:lineRule="exact"/>
      </w:pPr>
    </w:p>
    <w:tbl>
      <w:tblPr>
        <w:tblStyle w:val="5"/>
        <w:tblW w:w="582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60"/>
        <w:gridCol w:w="1587"/>
        <w:gridCol w:w="13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2860" w:type="dxa"/>
            <w:vAlign w:val="top"/>
          </w:tcPr>
          <w:p>
            <w:pPr>
              <w:pStyle w:val="6"/>
              <w:spacing w:before="232" w:line="219" w:lineRule="auto"/>
              <w:ind w:left="1084"/>
            </w:pPr>
            <w:r>
              <w:rPr>
                <w:spacing w:val="3"/>
              </w:rPr>
              <w:t>建筑类别</w:t>
            </w:r>
          </w:p>
        </w:tc>
        <w:tc>
          <w:tcPr>
            <w:tcW w:w="1587" w:type="dxa"/>
            <w:vAlign w:val="top"/>
          </w:tcPr>
          <w:p>
            <w:pPr>
              <w:pStyle w:val="6"/>
              <w:spacing w:before="122" w:line="219" w:lineRule="auto"/>
              <w:ind w:left="105"/>
            </w:pPr>
            <w:r>
              <w:rPr>
                <w:spacing w:val="-1"/>
              </w:rPr>
              <w:t>水枪充实水柱长度</w:t>
            </w:r>
          </w:p>
          <w:p>
            <w:pPr>
              <w:pStyle w:val="6"/>
              <w:spacing w:before="20" w:line="222" w:lineRule="auto"/>
              <w:ind w:left="654"/>
            </w:pPr>
            <w:r>
              <w:rPr>
                <w:spacing w:val="-9"/>
              </w:rPr>
              <w:t>(m)</w:t>
            </w:r>
          </w:p>
        </w:tc>
        <w:tc>
          <w:tcPr>
            <w:tcW w:w="1373" w:type="dxa"/>
            <w:vAlign w:val="top"/>
          </w:tcPr>
          <w:p>
            <w:pPr>
              <w:pStyle w:val="6"/>
              <w:spacing w:before="122" w:line="219" w:lineRule="auto"/>
              <w:ind w:left="88"/>
            </w:pPr>
            <w:r>
              <w:rPr>
                <w:spacing w:val="-2"/>
              </w:rPr>
              <w:t>消火栓栓口动压</w:t>
            </w:r>
          </w:p>
          <w:p>
            <w:pPr>
              <w:pStyle w:val="6"/>
              <w:spacing w:before="20" w:line="222" w:lineRule="auto"/>
              <w:ind w:left="467"/>
            </w:pPr>
            <w:r>
              <w:rPr>
                <w:spacing w:val="-6"/>
              </w:rPr>
              <w:t>(MPa)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2860" w:type="dxa"/>
            <w:vAlign w:val="top"/>
          </w:tcPr>
          <w:p>
            <w:pPr>
              <w:pStyle w:val="6"/>
              <w:spacing w:before="101" w:line="219" w:lineRule="auto"/>
              <w:ind w:left="743" w:hanging="728"/>
            </w:pPr>
            <w:r>
              <w:rPr>
                <w:spacing w:val="-4"/>
              </w:rPr>
              <w:t>高层建筑、高层(高架)库房、室内净空</w:t>
            </w:r>
            <w:r>
              <w:rPr>
                <w:spacing w:val="-2"/>
              </w:rPr>
              <w:t>高度超过8m的场所</w:t>
            </w:r>
          </w:p>
        </w:tc>
        <w:tc>
          <w:tcPr>
            <w:tcW w:w="1587" w:type="dxa"/>
            <w:vAlign w:val="top"/>
          </w:tcPr>
          <w:p>
            <w:pPr>
              <w:pStyle w:val="6"/>
              <w:spacing w:before="217"/>
              <w:ind w:left="705"/>
            </w:pPr>
            <w:r>
              <w:rPr>
                <w:spacing w:val="-5"/>
              </w:rPr>
              <w:t>13</w:t>
            </w:r>
          </w:p>
        </w:tc>
        <w:tc>
          <w:tcPr>
            <w:tcW w:w="1373" w:type="dxa"/>
            <w:vAlign w:val="top"/>
          </w:tcPr>
          <w:p>
            <w:pPr>
              <w:pStyle w:val="6"/>
              <w:spacing w:before="217" w:line="239" w:lineRule="auto"/>
              <w:ind w:left="507"/>
            </w:pPr>
            <w:r>
              <w:rPr>
                <w:spacing w:val="-2"/>
              </w:rPr>
              <w:t>0.35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2860" w:type="dxa"/>
            <w:vAlign w:val="top"/>
          </w:tcPr>
          <w:p>
            <w:pPr>
              <w:pStyle w:val="6"/>
              <w:spacing w:before="105" w:line="220" w:lineRule="auto"/>
              <w:ind w:left="1084"/>
            </w:pPr>
            <w:r>
              <w:rPr>
                <w:spacing w:val="-2"/>
              </w:rPr>
              <w:t>其他场所</w:t>
            </w:r>
          </w:p>
        </w:tc>
        <w:tc>
          <w:tcPr>
            <w:tcW w:w="1587" w:type="dxa"/>
            <w:vAlign w:val="top"/>
          </w:tcPr>
          <w:p>
            <w:pPr>
              <w:pStyle w:val="6"/>
              <w:spacing w:before="121"/>
              <w:ind w:left="705"/>
            </w:pPr>
            <w:r>
              <w:rPr>
                <w:spacing w:val="-5"/>
              </w:rPr>
              <w:t>10</w:t>
            </w:r>
          </w:p>
        </w:tc>
        <w:tc>
          <w:tcPr>
            <w:tcW w:w="1373" w:type="dxa"/>
            <w:vAlign w:val="top"/>
          </w:tcPr>
          <w:p>
            <w:pPr>
              <w:pStyle w:val="6"/>
              <w:spacing w:before="121" w:line="239" w:lineRule="auto"/>
              <w:ind w:left="507"/>
            </w:pPr>
            <w:r>
              <w:rPr>
                <w:spacing w:val="-2"/>
              </w:rPr>
              <w:t>0.25</w:t>
            </w:r>
          </w:p>
        </w:tc>
      </w:tr>
    </w:tbl>
    <w:p>
      <w:pPr>
        <w:spacing w:before="199" w:line="212" w:lineRule="auto"/>
        <w:rPr>
          <w:rFonts w:ascii="宋体" w:hAnsi="宋体" w:eastAsia="宋体" w:cs="宋体"/>
          <w:sz w:val="21"/>
          <w:szCs w:val="21"/>
        </w:rPr>
      </w:pPr>
      <w:r>
        <w:rPr>
          <w:rFonts w:ascii="Times New Roman" w:hAnsi="Times New Roman" w:eastAsia="Times New Roman" w:cs="Times New Roman"/>
          <w:b/>
          <w:bCs/>
          <w:spacing w:val="17"/>
          <w:sz w:val="21"/>
          <w:szCs w:val="21"/>
        </w:rPr>
        <w:t>5.4.3</w:t>
      </w:r>
      <w:r>
        <w:rPr>
          <w:rFonts w:ascii="宋体" w:hAnsi="宋体" w:eastAsia="宋体" w:cs="宋体"/>
          <w:spacing w:val="17"/>
          <w:sz w:val="21"/>
          <w:szCs w:val="21"/>
        </w:rPr>
        <w:t>室内消火栓栓口动压不应大于0.50</w:t>
      </w:r>
      <w:r>
        <w:rPr>
          <w:rFonts w:ascii="Times New Roman" w:hAnsi="Times New Roman" w:eastAsia="Times New Roman" w:cs="Times New Roman"/>
          <w:sz w:val="21"/>
          <w:szCs w:val="21"/>
        </w:rPr>
        <w:t>MPa</w:t>
      </w:r>
      <w:r>
        <w:rPr>
          <w:rFonts w:ascii="Times New Roman" w:hAnsi="Times New Roman" w:eastAsia="Times New Roman" w:cs="Times New Roman"/>
          <w:spacing w:val="17"/>
          <w:sz w:val="21"/>
          <w:szCs w:val="21"/>
        </w:rPr>
        <w:t>;</w:t>
      </w:r>
      <w:r>
        <w:rPr>
          <w:rFonts w:ascii="宋体" w:hAnsi="宋体" w:eastAsia="宋体" w:cs="宋体"/>
          <w:spacing w:val="17"/>
          <w:sz w:val="21"/>
          <w:szCs w:val="21"/>
        </w:rPr>
        <w:t>当</w:t>
      </w:r>
      <w:r>
        <w:rPr>
          <w:rFonts w:ascii="宋体" w:hAnsi="宋体" w:eastAsia="宋体" w:cs="宋体"/>
          <w:spacing w:val="16"/>
          <w:sz w:val="21"/>
          <w:szCs w:val="21"/>
        </w:rPr>
        <w:t>大于</w:t>
      </w:r>
    </w:p>
    <w:p>
      <w:pPr>
        <w:spacing w:before="93" w:line="220" w:lineRule="auto"/>
        <w:rPr>
          <w:rFonts w:ascii="宋体" w:hAnsi="宋体" w:eastAsia="宋体" w:cs="宋体"/>
          <w:sz w:val="21"/>
          <w:szCs w:val="21"/>
        </w:rPr>
      </w:pPr>
      <w:r>
        <w:rPr>
          <w:rFonts w:ascii="Times New Roman" w:hAnsi="Times New Roman" w:eastAsia="Times New Roman" w:cs="Times New Roman"/>
          <w:spacing w:val="-5"/>
          <w:sz w:val="21"/>
          <w:szCs w:val="21"/>
        </w:rPr>
        <w:t>0.50MPa</w:t>
      </w:r>
      <w:r>
        <w:rPr>
          <w:rFonts w:ascii="宋体" w:hAnsi="宋体" w:eastAsia="宋体" w:cs="宋体"/>
          <w:spacing w:val="-5"/>
          <w:sz w:val="21"/>
          <w:szCs w:val="21"/>
        </w:rPr>
        <w:t>时，应设置减压装置。</w:t>
      </w:r>
    </w:p>
    <w:p>
      <w:pPr>
        <w:spacing w:before="58" w:line="219" w:lineRule="auto"/>
        <w:ind w:left="3"/>
        <w:rPr>
          <w:rFonts w:ascii="宋体" w:hAnsi="宋体" w:eastAsia="宋体" w:cs="宋体"/>
          <w:sz w:val="21"/>
          <w:szCs w:val="21"/>
        </w:rPr>
      </w:pPr>
      <w:r>
        <w:rPr>
          <w:rFonts w:ascii="宋体" w:hAnsi="宋体" w:eastAsia="宋体" w:cs="宋体"/>
          <w:b/>
          <w:bCs/>
          <w:spacing w:val="-2"/>
          <w:sz w:val="21"/>
          <w:szCs w:val="21"/>
        </w:rPr>
        <w:t>5.4.4</w:t>
      </w:r>
      <w:r>
        <w:rPr>
          <w:rFonts w:ascii="宋体" w:hAnsi="宋体" w:eastAsia="宋体" w:cs="宋体"/>
          <w:spacing w:val="-2"/>
          <w:sz w:val="21"/>
          <w:szCs w:val="21"/>
        </w:rPr>
        <w:t>室内消火栓的布置应符合下列规定：</w:t>
      </w:r>
    </w:p>
    <w:p>
      <w:pPr>
        <w:spacing w:before="67" w:line="260" w:lineRule="auto"/>
        <w:ind w:right="55" w:firstLine="452"/>
        <w:rPr>
          <w:rFonts w:ascii="宋体" w:hAnsi="宋体" w:eastAsia="宋体" w:cs="宋体"/>
          <w:sz w:val="21"/>
          <w:szCs w:val="21"/>
        </w:rPr>
      </w:pPr>
      <w:r>
        <w:rPr>
          <w:rFonts w:ascii="宋体" w:hAnsi="宋体" w:eastAsia="宋体" w:cs="宋体"/>
          <w:b/>
          <w:bCs/>
          <w:spacing w:val="17"/>
          <w:sz w:val="21"/>
          <w:szCs w:val="21"/>
        </w:rPr>
        <w:t>1室内消火栓数量大于10个且室外消火栓用水量大于</w:t>
      </w:r>
      <w:r>
        <w:rPr>
          <w:rFonts w:ascii="宋体" w:hAnsi="宋体" w:eastAsia="宋体" w:cs="宋体"/>
          <w:spacing w:val="1"/>
          <w:sz w:val="21"/>
          <w:szCs w:val="21"/>
        </w:rPr>
        <w:t>15L/s时，其室内消防给水管道应连成环状，且至少应</w:t>
      </w:r>
      <w:r>
        <w:rPr>
          <w:rFonts w:ascii="宋体" w:hAnsi="宋体" w:eastAsia="宋体" w:cs="宋体"/>
          <w:sz w:val="21"/>
          <w:szCs w:val="21"/>
        </w:rPr>
        <w:t>有2条引</w:t>
      </w:r>
      <w:r>
        <w:rPr>
          <w:rFonts w:ascii="宋体" w:hAnsi="宋体" w:eastAsia="宋体" w:cs="宋体"/>
          <w:spacing w:val="10"/>
          <w:sz w:val="21"/>
          <w:szCs w:val="21"/>
        </w:rPr>
        <w:t>入管与室外环状给水管网或消防泵连接。当其</w:t>
      </w:r>
      <w:r>
        <w:rPr>
          <w:rFonts w:ascii="宋体" w:hAnsi="宋体" w:eastAsia="宋体" w:cs="宋体"/>
          <w:spacing w:val="9"/>
          <w:sz w:val="21"/>
          <w:szCs w:val="21"/>
        </w:rPr>
        <w:t>中1条引入管发</w:t>
      </w:r>
      <w:r>
        <w:rPr>
          <w:rFonts w:ascii="宋体" w:hAnsi="宋体" w:eastAsia="宋体" w:cs="宋体"/>
          <w:spacing w:val="-6"/>
          <w:sz w:val="21"/>
          <w:szCs w:val="21"/>
        </w:rPr>
        <w:t>生故障时，其余的引入管应仍能供应全部消防用水量。</w:t>
      </w:r>
    </w:p>
    <w:p>
      <w:pPr>
        <w:spacing w:before="71" w:line="266" w:lineRule="auto"/>
        <w:ind w:right="55" w:firstLine="452"/>
        <w:rPr>
          <w:rFonts w:ascii="宋体" w:hAnsi="宋体" w:eastAsia="宋体" w:cs="宋体"/>
          <w:sz w:val="21"/>
          <w:szCs w:val="21"/>
        </w:rPr>
      </w:pPr>
      <w:r>
        <w:rPr>
          <w:rFonts w:ascii="宋体" w:hAnsi="宋体" w:eastAsia="宋体" w:cs="宋体"/>
          <w:b/>
          <w:bCs/>
          <w:spacing w:val="2"/>
          <w:sz w:val="21"/>
          <w:szCs w:val="21"/>
        </w:rPr>
        <w:t>2</w:t>
      </w:r>
      <w:r>
        <w:rPr>
          <w:rFonts w:ascii="宋体" w:hAnsi="宋体" w:eastAsia="宋体" w:cs="宋体"/>
          <w:spacing w:val="2"/>
          <w:sz w:val="21"/>
          <w:szCs w:val="21"/>
        </w:rPr>
        <w:t>设置室内消火栓的建筑，包括避难层、设备层在内的各</w:t>
      </w:r>
      <w:r>
        <w:rPr>
          <w:rFonts w:ascii="宋体" w:hAnsi="宋体" w:eastAsia="宋体" w:cs="宋体"/>
          <w:spacing w:val="-16"/>
          <w:sz w:val="21"/>
          <w:szCs w:val="21"/>
        </w:rPr>
        <w:t>层、避难区、避难间、避难走道、直升机停机坪、消防电梯前室、屋</w:t>
      </w:r>
      <w:r>
        <w:rPr>
          <w:rFonts w:ascii="宋体" w:hAnsi="宋体" w:eastAsia="宋体" w:cs="宋体"/>
          <w:spacing w:val="-2"/>
          <w:sz w:val="21"/>
          <w:szCs w:val="21"/>
        </w:rPr>
        <w:t>顶排烟风机与排风风机合用机房，或设有集装箱变配电间以及设</w:t>
      </w:r>
      <w:r>
        <w:rPr>
          <w:rFonts w:ascii="宋体" w:hAnsi="宋体" w:eastAsia="宋体" w:cs="宋体"/>
          <w:spacing w:val="-9"/>
          <w:sz w:val="21"/>
          <w:szCs w:val="21"/>
        </w:rPr>
        <w:t>置冷却塔的场所，应设置消火栓。</w:t>
      </w:r>
    </w:p>
    <w:p>
      <w:pPr>
        <w:spacing w:before="50" w:line="250" w:lineRule="auto"/>
        <w:ind w:right="84" w:firstLine="452"/>
        <w:rPr>
          <w:rFonts w:ascii="宋体" w:hAnsi="宋体" w:eastAsia="宋体" w:cs="宋体"/>
          <w:sz w:val="21"/>
          <w:szCs w:val="21"/>
        </w:rPr>
      </w:pPr>
      <w:r>
        <w:rPr>
          <w:rFonts w:ascii="宋体" w:hAnsi="宋体" w:eastAsia="宋体" w:cs="宋体"/>
          <w:b/>
          <w:bCs/>
          <w:spacing w:val="2"/>
          <w:sz w:val="21"/>
          <w:szCs w:val="21"/>
        </w:rPr>
        <w:t>3</w:t>
      </w:r>
      <w:r>
        <w:rPr>
          <w:rFonts w:ascii="宋体" w:hAnsi="宋体" w:eastAsia="宋体" w:cs="宋体"/>
          <w:spacing w:val="2"/>
          <w:sz w:val="21"/>
          <w:szCs w:val="21"/>
        </w:rPr>
        <w:t>商业步行街两侧建筑的商铺外应设置消火栓</w:t>
      </w:r>
      <w:r>
        <w:rPr>
          <w:rFonts w:ascii="宋体" w:hAnsi="宋体" w:eastAsia="宋体" w:cs="宋体"/>
          <w:spacing w:val="1"/>
          <w:sz w:val="21"/>
          <w:szCs w:val="21"/>
        </w:rPr>
        <w:t>，并配备消</w:t>
      </w:r>
      <w:r>
        <w:rPr>
          <w:rFonts w:ascii="宋体" w:hAnsi="宋体" w:eastAsia="宋体" w:cs="宋体"/>
          <w:spacing w:val="-2"/>
          <w:sz w:val="21"/>
          <w:szCs w:val="21"/>
        </w:rPr>
        <w:t>防软管卷盘或轻便消防水龙，消火栓的布置间距不应大于30</w:t>
      </w:r>
      <w:r>
        <w:rPr>
          <w:rFonts w:ascii="Times New Roman" w:hAnsi="Times New Roman" w:eastAsia="Times New Roman" w:cs="Times New Roman"/>
          <w:spacing w:val="-2"/>
          <w:sz w:val="21"/>
          <w:szCs w:val="21"/>
        </w:rPr>
        <w:t>m</w:t>
      </w:r>
      <w:r>
        <w:rPr>
          <w:rFonts w:ascii="宋体" w:hAnsi="宋体" w:eastAsia="宋体" w:cs="宋体"/>
          <w:spacing w:val="-2"/>
          <w:sz w:val="21"/>
          <w:szCs w:val="21"/>
        </w:rPr>
        <w:t>。</w:t>
      </w:r>
    </w:p>
    <w:p>
      <w:pPr>
        <w:spacing w:before="71" w:line="250" w:lineRule="auto"/>
        <w:ind w:firstLine="452"/>
        <w:rPr>
          <w:rFonts w:ascii="宋体" w:hAnsi="宋体" w:eastAsia="宋体" w:cs="宋体"/>
          <w:sz w:val="21"/>
          <w:szCs w:val="21"/>
        </w:rPr>
      </w:pPr>
      <w:r>
        <w:rPr>
          <w:rFonts w:ascii="宋体" w:hAnsi="宋体" w:eastAsia="宋体" w:cs="宋体"/>
          <w:b/>
          <w:bCs/>
          <w:spacing w:val="5"/>
          <w:sz w:val="21"/>
          <w:szCs w:val="21"/>
        </w:rPr>
        <w:t>4</w:t>
      </w:r>
      <w:r>
        <w:rPr>
          <w:rFonts w:ascii="宋体" w:hAnsi="宋体" w:eastAsia="宋体" w:cs="宋体"/>
          <w:spacing w:val="5"/>
          <w:sz w:val="21"/>
          <w:szCs w:val="21"/>
        </w:rPr>
        <w:t>附建在民用建筑内的冷库，消火栓应设置在常温部位。</w:t>
      </w:r>
      <w:r>
        <w:rPr>
          <w:rFonts w:ascii="宋体" w:hAnsi="宋体" w:eastAsia="宋体" w:cs="宋体"/>
          <w:spacing w:val="-2"/>
          <w:sz w:val="21"/>
          <w:szCs w:val="21"/>
        </w:rPr>
        <w:t>冷库氨压缩机房进出口处的室内消火栓宜配置直流开花水枪。</w:t>
      </w:r>
    </w:p>
    <w:p>
      <w:pPr>
        <w:spacing w:before="72" w:line="250" w:lineRule="auto"/>
        <w:ind w:right="80" w:firstLine="449"/>
        <w:rPr>
          <w:rFonts w:ascii="宋体" w:hAnsi="宋体" w:eastAsia="宋体" w:cs="宋体"/>
          <w:sz w:val="21"/>
          <w:szCs w:val="21"/>
        </w:rPr>
      </w:pPr>
      <w:r>
        <w:rPr>
          <w:rFonts w:ascii="Times New Roman" w:hAnsi="Times New Roman" w:eastAsia="Times New Roman" w:cs="Times New Roman"/>
          <w:b/>
          <w:bCs/>
          <w:spacing w:val="2"/>
          <w:sz w:val="21"/>
          <w:szCs w:val="21"/>
        </w:rPr>
        <w:t>5</w:t>
      </w:r>
      <w:r>
        <w:rPr>
          <w:rFonts w:ascii="宋体" w:hAnsi="宋体" w:eastAsia="宋体" w:cs="宋体"/>
          <w:spacing w:val="2"/>
          <w:sz w:val="21"/>
          <w:szCs w:val="21"/>
        </w:rPr>
        <w:t>由建筑面积不大于200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的小商铺组成的商业建筑，每</w:t>
      </w:r>
      <w:r>
        <w:rPr>
          <w:rFonts w:ascii="宋体" w:hAnsi="宋体" w:eastAsia="宋体" w:cs="宋体"/>
          <w:spacing w:val="-2"/>
          <w:sz w:val="21"/>
          <w:szCs w:val="21"/>
        </w:rPr>
        <w:t>个小商铺内应至少设置1个消火栓，并宜设置在户门附近。</w:t>
      </w:r>
    </w:p>
    <w:p>
      <w:pPr>
        <w:spacing w:before="72" w:line="219" w:lineRule="auto"/>
        <w:ind w:left="449"/>
        <w:rPr>
          <w:rFonts w:ascii="宋体" w:hAnsi="宋体" w:eastAsia="宋体" w:cs="宋体"/>
          <w:sz w:val="21"/>
          <w:szCs w:val="21"/>
        </w:rPr>
      </w:pPr>
      <w:r>
        <w:rPr>
          <w:rFonts w:ascii="Times New Roman" w:hAnsi="Times New Roman" w:eastAsia="Times New Roman" w:cs="Times New Roman"/>
          <w:b/>
          <w:bCs/>
          <w:spacing w:val="1"/>
          <w:sz w:val="21"/>
          <w:szCs w:val="21"/>
        </w:rPr>
        <w:t>6</w:t>
      </w:r>
      <w:r>
        <w:rPr>
          <w:rFonts w:ascii="宋体" w:hAnsi="宋体" w:eastAsia="宋体" w:cs="宋体"/>
          <w:spacing w:val="1"/>
          <w:sz w:val="21"/>
          <w:szCs w:val="21"/>
        </w:rPr>
        <w:t>层高大于18</w:t>
      </w:r>
      <w:r>
        <w:rPr>
          <w:rFonts w:ascii="Times New Roman" w:hAnsi="Times New Roman" w:eastAsia="Times New Roman" w:cs="Times New Roman"/>
          <w:spacing w:val="1"/>
          <w:sz w:val="21"/>
          <w:szCs w:val="21"/>
        </w:rPr>
        <w:t>m</w:t>
      </w:r>
      <w:r>
        <w:rPr>
          <w:rFonts w:ascii="宋体" w:hAnsi="宋体" w:eastAsia="宋体" w:cs="宋体"/>
          <w:spacing w:val="1"/>
          <w:sz w:val="21"/>
          <w:szCs w:val="21"/>
        </w:rPr>
        <w:t>的高大空间场所，当设有检修马道或平台</w:t>
      </w:r>
    </w:p>
    <w:p>
      <w:pPr>
        <w:spacing w:line="219" w:lineRule="auto"/>
        <w:rPr>
          <w:rFonts w:ascii="宋体" w:hAnsi="宋体" w:eastAsia="宋体" w:cs="宋体"/>
          <w:sz w:val="21"/>
          <w:szCs w:val="21"/>
        </w:rPr>
        <w:sectPr>
          <w:footerReference r:id="rId38" w:type="default"/>
          <w:pgSz w:w="8280" w:h="11850"/>
          <w:pgMar w:top="400" w:right="1144" w:bottom="1380" w:left="1210" w:header="0" w:footer="1106" w:gutter="0"/>
          <w:cols w:space="720" w:num="1"/>
        </w:sectPr>
      </w:pPr>
    </w:p>
    <w:p>
      <w:pPr>
        <w:pStyle w:val="2"/>
        <w:spacing w:line="288" w:lineRule="auto"/>
      </w:pPr>
    </w:p>
    <w:p>
      <w:pPr>
        <w:pStyle w:val="2"/>
        <w:spacing w:line="288" w:lineRule="auto"/>
      </w:pPr>
    </w:p>
    <w:p>
      <w:pPr>
        <w:pStyle w:val="2"/>
        <w:spacing w:line="289" w:lineRule="auto"/>
      </w:pPr>
    </w:p>
    <w:p>
      <w:pPr>
        <w:spacing w:before="68" w:line="219" w:lineRule="auto"/>
        <w:rPr>
          <w:rFonts w:ascii="宋体" w:hAnsi="宋体" w:eastAsia="宋体" w:cs="宋体"/>
          <w:sz w:val="21"/>
          <w:szCs w:val="21"/>
        </w:rPr>
      </w:pPr>
      <w:bookmarkStart w:id="28" w:name="bookmark84"/>
      <w:bookmarkEnd w:id="28"/>
      <w:r>
        <w:rPr>
          <w:rFonts w:ascii="宋体" w:hAnsi="宋体" w:eastAsia="宋体" w:cs="宋体"/>
          <w:spacing w:val="-7"/>
          <w:sz w:val="21"/>
          <w:szCs w:val="21"/>
        </w:rPr>
        <w:t>时，应在马道或平台上设置消火栓。</w:t>
      </w:r>
    </w:p>
    <w:p>
      <w:pPr>
        <w:spacing w:before="71" w:line="250" w:lineRule="auto"/>
        <w:ind w:right="19" w:firstLine="432"/>
        <w:rPr>
          <w:rFonts w:ascii="宋体" w:hAnsi="宋体" w:eastAsia="宋体" w:cs="宋体"/>
          <w:sz w:val="21"/>
          <w:szCs w:val="21"/>
        </w:rPr>
      </w:pPr>
      <w:r>
        <w:rPr>
          <w:rFonts w:ascii="宋体" w:hAnsi="宋体" w:eastAsia="宋体" w:cs="宋体"/>
          <w:b/>
          <w:bCs/>
          <w:spacing w:val="-2"/>
          <w:sz w:val="21"/>
          <w:szCs w:val="21"/>
        </w:rPr>
        <w:t>7</w:t>
      </w:r>
      <w:r>
        <w:rPr>
          <w:rFonts w:ascii="宋体" w:hAnsi="宋体" w:eastAsia="宋体" w:cs="宋体"/>
          <w:spacing w:val="-2"/>
          <w:sz w:val="21"/>
          <w:szCs w:val="21"/>
        </w:rPr>
        <w:t>超过1500个座位的剧场，其闷顶面光桥处，宜设消火栓，</w:t>
      </w:r>
      <w:r>
        <w:rPr>
          <w:rFonts w:ascii="宋体" w:hAnsi="宋体" w:eastAsia="宋体" w:cs="宋体"/>
          <w:spacing w:val="-1"/>
          <w:sz w:val="21"/>
          <w:szCs w:val="21"/>
        </w:rPr>
        <w:t>并配备消防软管卷盘。</w:t>
      </w:r>
    </w:p>
    <w:p>
      <w:pPr>
        <w:spacing w:before="70" w:line="219" w:lineRule="auto"/>
        <w:ind w:left="432"/>
        <w:rPr>
          <w:rFonts w:ascii="宋体" w:hAnsi="宋体" w:eastAsia="宋体" w:cs="宋体"/>
          <w:sz w:val="21"/>
          <w:szCs w:val="21"/>
        </w:rPr>
      </w:pPr>
      <w:r>
        <w:rPr>
          <w:rFonts w:ascii="宋体" w:hAnsi="宋体" w:eastAsia="宋体" w:cs="宋体"/>
          <w:b/>
          <w:bCs/>
          <w:sz w:val="21"/>
          <w:szCs w:val="21"/>
        </w:rPr>
        <w:t>8</w:t>
      </w:r>
      <w:r>
        <w:rPr>
          <w:rFonts w:ascii="宋体" w:hAnsi="宋体" w:eastAsia="宋体" w:cs="宋体"/>
          <w:sz w:val="21"/>
          <w:szCs w:val="21"/>
        </w:rPr>
        <w:t>住宅的室内消火栓宜设置在楼梯间及其休息平台。</w:t>
      </w:r>
    </w:p>
    <w:p>
      <w:pPr>
        <w:spacing w:before="60" w:line="246" w:lineRule="auto"/>
        <w:ind w:right="68" w:firstLine="432"/>
        <w:rPr>
          <w:rFonts w:ascii="宋体" w:hAnsi="宋体" w:eastAsia="宋体" w:cs="宋体"/>
          <w:sz w:val="21"/>
          <w:szCs w:val="21"/>
        </w:rPr>
      </w:pPr>
      <w:r>
        <w:rPr>
          <w:rFonts w:ascii="宋体" w:hAnsi="宋体" w:eastAsia="宋体" w:cs="宋体"/>
          <w:b/>
          <w:bCs/>
          <w:spacing w:val="-4"/>
          <w:sz w:val="21"/>
          <w:szCs w:val="21"/>
        </w:rPr>
        <w:t>9</w:t>
      </w:r>
      <w:r>
        <w:rPr>
          <w:rFonts w:ascii="宋体" w:hAnsi="宋体" w:eastAsia="宋体" w:cs="宋体"/>
          <w:spacing w:val="-4"/>
          <w:sz w:val="21"/>
          <w:szCs w:val="21"/>
        </w:rPr>
        <w:t>汽车库、停车库内设置的消火栓的布置，不应影响汽车的</w:t>
      </w:r>
      <w:r>
        <w:rPr>
          <w:rFonts w:ascii="宋体" w:hAnsi="宋体" w:eastAsia="宋体" w:cs="宋体"/>
          <w:spacing w:val="-5"/>
          <w:sz w:val="21"/>
          <w:szCs w:val="21"/>
        </w:rPr>
        <w:t>通行和车位的设置，且能在车位正常停车状态下便于取用。</w:t>
      </w:r>
    </w:p>
    <w:p>
      <w:pPr>
        <w:spacing w:before="59" w:line="255" w:lineRule="auto"/>
        <w:ind w:right="86" w:firstLine="432"/>
        <w:rPr>
          <w:rFonts w:ascii="宋体" w:hAnsi="宋体" w:eastAsia="宋体" w:cs="宋体"/>
          <w:sz w:val="21"/>
          <w:szCs w:val="21"/>
        </w:rPr>
      </w:pPr>
      <w:r>
        <w:rPr>
          <w:rFonts w:ascii="宋体" w:hAnsi="宋体" w:eastAsia="宋体" w:cs="宋体"/>
          <w:b/>
          <w:bCs/>
          <w:spacing w:val="-1"/>
          <w:sz w:val="21"/>
          <w:szCs w:val="21"/>
        </w:rPr>
        <w:t>10</w:t>
      </w:r>
      <w:r>
        <w:rPr>
          <w:rFonts w:ascii="宋体" w:hAnsi="宋体" w:eastAsia="宋体" w:cs="宋体"/>
          <w:spacing w:val="-1"/>
          <w:sz w:val="21"/>
          <w:szCs w:val="21"/>
        </w:rPr>
        <w:t>设有室内消火栓的建筑，应在其屋顶或通往屋顶的最高</w:t>
      </w:r>
      <w:r>
        <w:rPr>
          <w:rFonts w:ascii="宋体" w:hAnsi="宋体" w:eastAsia="宋体" w:cs="宋体"/>
          <w:sz w:val="21"/>
          <w:szCs w:val="21"/>
        </w:rPr>
        <w:t>楼梯间内设置带有压力表的试验消火栓；单</w:t>
      </w:r>
      <w:r>
        <w:rPr>
          <w:rFonts w:ascii="宋体" w:hAnsi="宋体" w:eastAsia="宋体" w:cs="宋体"/>
          <w:spacing w:val="-1"/>
          <w:sz w:val="21"/>
          <w:szCs w:val="21"/>
        </w:rPr>
        <w:t>层建筑的试验消火栓</w:t>
      </w:r>
      <w:r>
        <w:rPr>
          <w:rFonts w:ascii="宋体" w:hAnsi="宋体" w:eastAsia="宋体" w:cs="宋体"/>
          <w:spacing w:val="-6"/>
          <w:sz w:val="21"/>
          <w:szCs w:val="21"/>
        </w:rPr>
        <w:t>宜设置在水力最不利处，且应靠近出入口。</w:t>
      </w:r>
    </w:p>
    <w:p>
      <w:pPr>
        <w:spacing w:before="118" w:line="264" w:lineRule="auto"/>
        <w:ind w:right="75" w:firstLine="429"/>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spacing w:val="9"/>
          <w:sz w:val="21"/>
          <w:szCs w:val="21"/>
        </w:rPr>
        <w:t>除建筑高度小于或等于54</w:t>
      </w:r>
      <w:r>
        <w:rPr>
          <w:rFonts w:ascii="Times New Roman" w:hAnsi="Times New Roman" w:eastAsia="Times New Roman" w:cs="Times New Roman"/>
          <w:spacing w:val="9"/>
          <w:sz w:val="21"/>
          <w:szCs w:val="21"/>
        </w:rPr>
        <w:t>m</w:t>
      </w:r>
      <w:r>
        <w:rPr>
          <w:rFonts w:ascii="宋体" w:hAnsi="宋体" w:eastAsia="宋体" w:cs="宋体"/>
          <w:spacing w:val="9"/>
          <w:sz w:val="21"/>
          <w:szCs w:val="21"/>
        </w:rPr>
        <w:t>且每单元设置1部疏散楼</w:t>
      </w:r>
      <w:r>
        <w:rPr>
          <w:rFonts w:ascii="宋体" w:hAnsi="宋体" w:eastAsia="宋体" w:cs="宋体"/>
          <w:sz w:val="21"/>
          <w:szCs w:val="21"/>
        </w:rPr>
        <w:t>梯的住宅，汽车库、修车库室内消火栓小于或</w:t>
      </w:r>
      <w:r>
        <w:rPr>
          <w:rFonts w:ascii="宋体" w:hAnsi="宋体" w:eastAsia="宋体" w:cs="宋体"/>
          <w:spacing w:val="-1"/>
          <w:sz w:val="21"/>
          <w:szCs w:val="21"/>
        </w:rPr>
        <w:t>等于10个，以及本</w:t>
      </w:r>
      <w:r>
        <w:rPr>
          <w:rFonts w:ascii="宋体" w:hAnsi="宋体" w:eastAsia="宋体" w:cs="宋体"/>
          <w:spacing w:val="6"/>
          <w:sz w:val="21"/>
          <w:szCs w:val="21"/>
        </w:rPr>
        <w:t>标准表5.2.3中规定可采用1支消防水枪的场所外，室内消火栓</w:t>
      </w:r>
      <w:r>
        <w:rPr>
          <w:rFonts w:ascii="宋体" w:hAnsi="宋体" w:eastAsia="宋体" w:cs="宋体"/>
          <w:spacing w:val="15"/>
          <w:sz w:val="21"/>
          <w:szCs w:val="21"/>
        </w:rPr>
        <w:t>的布置应满足同一平面任何部位有2支室内消火栓水枪的2股</w:t>
      </w:r>
      <w:r>
        <w:rPr>
          <w:rFonts w:ascii="宋体" w:hAnsi="宋体" w:eastAsia="宋体" w:cs="宋体"/>
          <w:spacing w:val="-1"/>
          <w:sz w:val="21"/>
          <w:szCs w:val="21"/>
        </w:rPr>
        <w:t>充实水柱同时到达，其间距应计算确定。消火栓的布置不应跨防</w:t>
      </w:r>
      <w:r>
        <w:rPr>
          <w:rFonts w:ascii="宋体" w:hAnsi="宋体" w:eastAsia="宋体" w:cs="宋体"/>
          <w:spacing w:val="-8"/>
          <w:sz w:val="21"/>
          <w:szCs w:val="21"/>
        </w:rPr>
        <w:t>火分区。</w:t>
      </w:r>
    </w:p>
    <w:p>
      <w:pPr>
        <w:spacing w:before="91" w:line="246" w:lineRule="auto"/>
        <w:ind w:right="86" w:firstLine="432"/>
        <w:rPr>
          <w:rFonts w:ascii="宋体" w:hAnsi="宋体" w:eastAsia="宋体" w:cs="宋体"/>
          <w:sz w:val="21"/>
          <w:szCs w:val="21"/>
        </w:rPr>
      </w:pPr>
      <w:r>
        <w:rPr>
          <w:rFonts w:ascii="宋体" w:hAnsi="宋体" w:eastAsia="宋体" w:cs="宋体"/>
          <w:b/>
          <w:bCs/>
          <w:spacing w:val="-1"/>
          <w:sz w:val="21"/>
          <w:szCs w:val="21"/>
        </w:rPr>
        <w:t>12</w:t>
      </w:r>
      <w:r>
        <w:rPr>
          <w:rFonts w:ascii="宋体" w:hAnsi="宋体" w:eastAsia="宋体" w:cs="宋体"/>
          <w:spacing w:val="-1"/>
          <w:sz w:val="21"/>
          <w:szCs w:val="21"/>
        </w:rPr>
        <w:t>室内消火栓宜按行走距离(直线距离)布置，其间距应计算确定。</w:t>
      </w:r>
    </w:p>
    <w:p>
      <w:pPr>
        <w:spacing w:before="80" w:line="246" w:lineRule="auto"/>
        <w:ind w:right="95" w:firstLine="432"/>
        <w:rPr>
          <w:rFonts w:ascii="宋体" w:hAnsi="宋体" w:eastAsia="宋体" w:cs="宋体"/>
          <w:sz w:val="21"/>
          <w:szCs w:val="21"/>
        </w:rPr>
      </w:pPr>
      <w:r>
        <w:rPr>
          <w:rFonts w:ascii="宋体" w:hAnsi="宋体" w:eastAsia="宋体" w:cs="宋体"/>
          <w:b/>
          <w:bCs/>
          <w:spacing w:val="7"/>
          <w:sz w:val="21"/>
          <w:szCs w:val="21"/>
        </w:rPr>
        <w:t>13</w:t>
      </w:r>
      <w:r>
        <w:rPr>
          <w:rFonts w:ascii="宋体" w:hAnsi="宋体" w:eastAsia="宋体" w:cs="宋体"/>
          <w:spacing w:val="7"/>
          <w:sz w:val="21"/>
          <w:szCs w:val="21"/>
        </w:rPr>
        <w:t>住宅建筑内的消火栓箱内应设消火栓口和消防软管卷</w:t>
      </w:r>
      <w:r>
        <w:rPr>
          <w:rFonts w:ascii="宋体" w:hAnsi="宋体" w:eastAsia="宋体" w:cs="宋体"/>
          <w:spacing w:val="-12"/>
          <w:sz w:val="21"/>
          <w:szCs w:val="21"/>
        </w:rPr>
        <w:t>盘，可不设水枪和水带。</w:t>
      </w:r>
    </w:p>
    <w:p>
      <w:pPr>
        <w:spacing w:before="69" w:line="246" w:lineRule="auto"/>
        <w:ind w:firstLine="432"/>
        <w:rPr>
          <w:rFonts w:ascii="宋体" w:hAnsi="宋体" w:eastAsia="宋体" w:cs="宋体"/>
          <w:sz w:val="21"/>
          <w:szCs w:val="21"/>
        </w:rPr>
      </w:pPr>
      <w:r>
        <w:rPr>
          <w:rFonts w:ascii="宋体" w:hAnsi="宋体" w:eastAsia="宋体" w:cs="宋体"/>
          <w:b/>
          <w:bCs/>
          <w:spacing w:val="2"/>
          <w:sz w:val="21"/>
          <w:szCs w:val="21"/>
        </w:rPr>
        <w:t>14</w:t>
      </w:r>
      <w:r>
        <w:rPr>
          <w:rFonts w:ascii="宋体" w:hAnsi="宋体" w:eastAsia="宋体" w:cs="宋体"/>
          <w:spacing w:val="2"/>
          <w:sz w:val="21"/>
          <w:szCs w:val="21"/>
        </w:rPr>
        <w:t>同一建筑物内应采用统一规格的消火栓、水枪和水带，</w:t>
      </w:r>
      <w:r>
        <w:rPr>
          <w:rFonts w:ascii="宋体" w:hAnsi="宋体" w:eastAsia="宋体" w:cs="宋体"/>
          <w:spacing w:val="-1"/>
          <w:sz w:val="21"/>
          <w:szCs w:val="21"/>
        </w:rPr>
        <w:t>水带应采用有衬里型。</w:t>
      </w:r>
    </w:p>
    <w:p>
      <w:pPr>
        <w:spacing w:before="72" w:line="219" w:lineRule="auto"/>
        <w:ind w:left="432"/>
        <w:rPr>
          <w:rFonts w:ascii="宋体" w:hAnsi="宋体" w:eastAsia="宋体" w:cs="宋体"/>
          <w:sz w:val="21"/>
          <w:szCs w:val="21"/>
        </w:rPr>
      </w:pPr>
      <w:r>
        <w:rPr>
          <w:rFonts w:ascii="宋体" w:hAnsi="宋体" w:eastAsia="宋体" w:cs="宋体"/>
          <w:b/>
          <w:bCs/>
          <w:spacing w:val="-4"/>
          <w:sz w:val="21"/>
          <w:szCs w:val="21"/>
        </w:rPr>
        <w:t>15</w:t>
      </w:r>
      <w:r>
        <w:rPr>
          <w:rFonts w:ascii="宋体" w:hAnsi="宋体" w:eastAsia="宋体" w:cs="宋体"/>
          <w:spacing w:val="-4"/>
          <w:sz w:val="21"/>
          <w:szCs w:val="21"/>
        </w:rPr>
        <w:t>室内消火栓、阀门等设置地点应设置永</w:t>
      </w:r>
      <w:r>
        <w:rPr>
          <w:rFonts w:ascii="宋体" w:hAnsi="宋体" w:eastAsia="宋体" w:cs="宋体"/>
          <w:spacing w:val="-5"/>
          <w:sz w:val="21"/>
          <w:szCs w:val="21"/>
        </w:rPr>
        <w:t>久性固定标志。</w:t>
      </w:r>
    </w:p>
    <w:p>
      <w:pPr>
        <w:spacing w:before="59" w:line="260" w:lineRule="auto"/>
        <w:ind w:right="83" w:firstLine="429"/>
        <w:rPr>
          <w:rFonts w:ascii="宋体" w:hAnsi="宋体" w:eastAsia="宋体" w:cs="宋体"/>
          <w:sz w:val="21"/>
          <w:szCs w:val="21"/>
        </w:rPr>
      </w:pPr>
      <w:r>
        <w:rPr>
          <w:rFonts w:ascii="Times New Roman" w:hAnsi="Times New Roman" w:eastAsia="Times New Roman" w:cs="Times New Roman"/>
          <w:b/>
          <w:bCs/>
          <w:spacing w:val="2"/>
          <w:sz w:val="21"/>
          <w:szCs w:val="21"/>
        </w:rPr>
        <w:t>16</w:t>
      </w:r>
      <w:r>
        <w:rPr>
          <w:rFonts w:ascii="宋体" w:hAnsi="宋体" w:eastAsia="宋体" w:cs="宋体"/>
          <w:spacing w:val="2"/>
          <w:sz w:val="21"/>
          <w:szCs w:val="21"/>
        </w:rPr>
        <w:t>建筑高度大于250</w:t>
      </w:r>
      <w:r>
        <w:rPr>
          <w:rFonts w:ascii="Times New Roman" w:hAnsi="Times New Roman" w:eastAsia="Times New Roman" w:cs="Times New Roman"/>
          <w:spacing w:val="2"/>
          <w:sz w:val="21"/>
          <w:szCs w:val="21"/>
        </w:rPr>
        <w:t>m</w:t>
      </w:r>
      <w:r>
        <w:rPr>
          <w:rFonts w:ascii="宋体" w:hAnsi="宋体" w:eastAsia="宋体" w:cs="宋体"/>
          <w:spacing w:val="2"/>
          <w:sz w:val="21"/>
          <w:szCs w:val="21"/>
        </w:rPr>
        <w:t>民用建筑，应在楼梯间前室和设置</w:t>
      </w:r>
      <w:r>
        <w:rPr>
          <w:rFonts w:ascii="宋体" w:hAnsi="宋体" w:eastAsia="宋体" w:cs="宋体"/>
          <w:spacing w:val="7"/>
          <w:sz w:val="21"/>
          <w:szCs w:val="21"/>
        </w:rPr>
        <w:t>室内消火栓的消防电梯前室通向走道的墙体下部设置消防水带</w:t>
      </w:r>
      <w:r>
        <w:rPr>
          <w:rFonts w:ascii="宋体" w:hAnsi="宋体" w:eastAsia="宋体" w:cs="宋体"/>
          <w:spacing w:val="-1"/>
          <w:sz w:val="21"/>
          <w:szCs w:val="21"/>
        </w:rPr>
        <w:t>穿越孔。消防水带穿越孔平时应处于封闭状态，并应在前室一侧</w:t>
      </w:r>
      <w:r>
        <w:rPr>
          <w:rFonts w:ascii="宋体" w:hAnsi="宋体" w:eastAsia="宋体" w:cs="宋体"/>
          <w:spacing w:val="-4"/>
          <w:sz w:val="21"/>
          <w:szCs w:val="21"/>
        </w:rPr>
        <w:t>设置永久性固定标志。</w:t>
      </w:r>
    </w:p>
    <w:p>
      <w:pPr>
        <w:spacing w:before="109" w:line="273" w:lineRule="auto"/>
        <w:ind w:right="76" w:firstLine="3"/>
        <w:jc w:val="both"/>
        <w:rPr>
          <w:rFonts w:ascii="宋体" w:hAnsi="宋体" w:eastAsia="宋体" w:cs="宋体"/>
          <w:sz w:val="21"/>
          <w:szCs w:val="21"/>
        </w:rPr>
      </w:pPr>
      <w:r>
        <w:rPr>
          <w:rFonts w:ascii="宋体" w:hAnsi="宋体" w:eastAsia="宋体" w:cs="宋体"/>
          <w:b/>
          <w:bCs/>
          <w:spacing w:val="3"/>
          <w:sz w:val="21"/>
          <w:szCs w:val="21"/>
        </w:rPr>
        <w:t>5.4.5</w:t>
      </w:r>
      <w:r>
        <w:rPr>
          <w:rFonts w:ascii="宋体" w:hAnsi="宋体" w:eastAsia="宋体" w:cs="宋体"/>
          <w:spacing w:val="3"/>
          <w:sz w:val="21"/>
          <w:szCs w:val="21"/>
        </w:rPr>
        <w:t>消防软管卷盘的设置间距应保证有一股水流能到达室内</w:t>
      </w:r>
      <w:r>
        <w:rPr>
          <w:rFonts w:ascii="宋体" w:hAnsi="宋体" w:eastAsia="宋体" w:cs="宋体"/>
          <w:spacing w:val="-1"/>
          <w:sz w:val="21"/>
          <w:szCs w:val="21"/>
        </w:rPr>
        <w:t>地面任何部位，可安装在消火栓箱内或单独安装，其安装高度应</w:t>
      </w:r>
      <w:r>
        <w:rPr>
          <w:rFonts w:ascii="宋体" w:hAnsi="宋体" w:eastAsia="宋体" w:cs="宋体"/>
          <w:spacing w:val="-3"/>
          <w:sz w:val="21"/>
          <w:szCs w:val="21"/>
        </w:rPr>
        <w:t>便于取用。</w:t>
      </w:r>
    </w:p>
    <w:p>
      <w:pPr>
        <w:spacing w:line="273" w:lineRule="auto"/>
        <w:rPr>
          <w:rFonts w:ascii="宋体" w:hAnsi="宋体" w:eastAsia="宋体" w:cs="宋体"/>
          <w:sz w:val="21"/>
          <w:szCs w:val="21"/>
        </w:rPr>
        <w:sectPr>
          <w:footerReference r:id="rId39" w:type="default"/>
          <w:pgSz w:w="8280" w:h="11850"/>
          <w:pgMar w:top="400" w:right="1125" w:bottom="1300" w:left="1190" w:header="0" w:footer="1027" w:gutter="0"/>
          <w:cols w:space="720" w:num="1"/>
        </w:sectPr>
      </w:pPr>
    </w:p>
    <w:p>
      <w:pPr>
        <w:pStyle w:val="2"/>
        <w:spacing w:line="274" w:lineRule="auto"/>
      </w:pPr>
    </w:p>
    <w:p>
      <w:pPr>
        <w:pStyle w:val="2"/>
        <w:spacing w:line="275" w:lineRule="auto"/>
      </w:pPr>
    </w:p>
    <w:p>
      <w:pPr>
        <w:pStyle w:val="2"/>
        <w:spacing w:line="275" w:lineRule="auto"/>
      </w:pPr>
    </w:p>
    <w:p>
      <w:pPr>
        <w:pStyle w:val="2"/>
        <w:spacing w:before="68" w:line="269" w:lineRule="auto"/>
        <w:ind w:right="21"/>
        <w:rPr>
          <w:rFonts w:ascii="宋体" w:hAnsi="宋体" w:eastAsia="宋体" w:cs="宋体"/>
        </w:rPr>
      </w:pPr>
      <w:r>
        <w:rPr>
          <w:spacing w:val="3"/>
        </w:rPr>
        <w:t>5.4.6</w:t>
      </w:r>
      <w:r>
        <w:rPr>
          <w:rFonts w:ascii="宋体" w:hAnsi="宋体" w:eastAsia="宋体" w:cs="宋体"/>
          <w:spacing w:val="3"/>
        </w:rPr>
        <w:t>室内消火栓系统宜采用竖向环网布置方式，系统管道布</w:t>
      </w:r>
      <w:r>
        <w:rPr>
          <w:rFonts w:ascii="宋体" w:hAnsi="宋体" w:eastAsia="宋体" w:cs="宋体"/>
          <w:spacing w:val="2"/>
        </w:rPr>
        <w:t>置及阀门设置应保证不关闭相邻2个消火栓；确有困难时，在保证不少于2根供水主立管与环状管网连通时，可采用水平环网布</w:t>
      </w:r>
      <w:r>
        <w:rPr>
          <w:rFonts w:ascii="宋体" w:hAnsi="宋体" w:eastAsia="宋体" w:cs="宋体"/>
          <w:spacing w:val="-2"/>
        </w:rPr>
        <w:t>置方式，水平环管上阀门设置应确保室内消火栓在检修时停止使</w:t>
      </w:r>
      <w:r>
        <w:rPr>
          <w:rFonts w:ascii="宋体" w:hAnsi="宋体" w:eastAsia="宋体" w:cs="宋体"/>
          <w:spacing w:val="5"/>
        </w:rPr>
        <w:t>用的消火栓数量小于或等于5个。</w:t>
      </w:r>
    </w:p>
    <w:p>
      <w:pPr>
        <w:pStyle w:val="2"/>
        <w:spacing w:before="100" w:line="219" w:lineRule="auto"/>
        <w:rPr>
          <w:rFonts w:ascii="宋体" w:hAnsi="宋体" w:eastAsia="宋体" w:cs="宋体"/>
        </w:rPr>
      </w:pPr>
      <w:r>
        <w:rPr>
          <w:b/>
          <w:bCs/>
        </w:rPr>
        <w:t>5.4.7</w:t>
      </w:r>
      <w:r>
        <w:rPr>
          <w:rFonts w:ascii="宋体" w:hAnsi="宋体" w:eastAsia="宋体" w:cs="宋体"/>
        </w:rPr>
        <w:t>分区消防给水系统管道的最高点处宜设自动排气阀。</w:t>
      </w:r>
    </w:p>
    <w:p>
      <w:pPr>
        <w:pStyle w:val="2"/>
        <w:spacing w:line="306" w:lineRule="auto"/>
      </w:pPr>
    </w:p>
    <w:p>
      <w:pPr>
        <w:spacing w:before="68" w:line="219" w:lineRule="auto"/>
        <w:ind w:left="1502"/>
        <w:outlineLvl w:val="1"/>
        <w:rPr>
          <w:rFonts w:ascii="宋体" w:hAnsi="宋体" w:eastAsia="宋体" w:cs="宋体"/>
          <w:sz w:val="21"/>
          <w:szCs w:val="21"/>
        </w:rPr>
      </w:pPr>
      <w:bookmarkStart w:id="29" w:name="bookmark20"/>
      <w:bookmarkEnd w:id="29"/>
      <w:r>
        <w:rPr>
          <w:rFonts w:ascii="宋体" w:hAnsi="宋体" w:eastAsia="宋体" w:cs="宋体"/>
          <w:b/>
          <w:bCs/>
          <w:spacing w:val="-3"/>
          <w:sz w:val="21"/>
          <w:szCs w:val="21"/>
        </w:rPr>
        <w:t>5.5压缩空气泡沫消火栓系统</w:t>
      </w:r>
    </w:p>
    <w:p>
      <w:pPr>
        <w:pStyle w:val="2"/>
        <w:spacing w:line="315" w:lineRule="auto"/>
      </w:pPr>
    </w:p>
    <w:p>
      <w:pPr>
        <w:spacing w:before="69" w:line="260" w:lineRule="auto"/>
        <w:rPr>
          <w:rFonts w:ascii="宋体" w:hAnsi="宋体" w:eastAsia="宋体" w:cs="宋体"/>
          <w:sz w:val="21"/>
          <w:szCs w:val="21"/>
        </w:rPr>
      </w:pPr>
      <w:r>
        <w:rPr>
          <w:rFonts w:ascii="Times New Roman" w:hAnsi="Times New Roman" w:eastAsia="Times New Roman" w:cs="Times New Roman"/>
          <w:b/>
          <w:bCs/>
          <w:spacing w:val="1"/>
          <w:sz w:val="21"/>
          <w:szCs w:val="21"/>
        </w:rPr>
        <w:t>5.5.1</w:t>
      </w:r>
      <w:r>
        <w:rPr>
          <w:rFonts w:ascii="宋体" w:hAnsi="宋体" w:eastAsia="宋体" w:cs="宋体"/>
          <w:spacing w:val="1"/>
          <w:sz w:val="21"/>
          <w:szCs w:val="21"/>
        </w:rPr>
        <w:t>建筑高度小于或等于200</w:t>
      </w:r>
      <w:r>
        <w:rPr>
          <w:rFonts w:ascii="Times New Roman" w:hAnsi="Times New Roman" w:eastAsia="Times New Roman" w:cs="Times New Roman"/>
          <w:spacing w:val="1"/>
          <w:sz w:val="21"/>
          <w:szCs w:val="21"/>
        </w:rPr>
        <w:t>m</w:t>
      </w:r>
      <w:r>
        <w:rPr>
          <w:rFonts w:ascii="宋体" w:hAnsi="宋体" w:eastAsia="宋体" w:cs="宋体"/>
          <w:spacing w:val="1"/>
          <w:sz w:val="21"/>
          <w:szCs w:val="21"/>
        </w:rPr>
        <w:t>时，可采用压缩空气泡沫快</w:t>
      </w:r>
      <w:r>
        <w:rPr>
          <w:rFonts w:ascii="宋体" w:hAnsi="宋体" w:eastAsia="宋体" w:cs="宋体"/>
          <w:spacing w:val="2"/>
          <w:sz w:val="21"/>
          <w:szCs w:val="21"/>
        </w:rPr>
        <w:t>速输送管网(干式)形式；当建筑高度大于200m</w:t>
      </w:r>
      <w:r>
        <w:rPr>
          <w:rFonts w:ascii="宋体" w:hAnsi="宋体" w:eastAsia="宋体" w:cs="宋体"/>
          <w:spacing w:val="1"/>
          <w:sz w:val="21"/>
          <w:szCs w:val="21"/>
        </w:rPr>
        <w:t>时，宜增设固定</w:t>
      </w:r>
      <w:r>
        <w:rPr>
          <w:rFonts w:ascii="宋体" w:hAnsi="宋体" w:eastAsia="宋体" w:cs="宋体"/>
          <w:spacing w:val="-4"/>
          <w:sz w:val="21"/>
          <w:szCs w:val="21"/>
        </w:rPr>
        <w:t>式压缩空气泡沫灭火装置。</w:t>
      </w:r>
    </w:p>
    <w:p>
      <w:pPr>
        <w:spacing w:before="60" w:line="261" w:lineRule="auto"/>
        <w:ind w:right="21" w:firstLine="3"/>
        <w:rPr>
          <w:rFonts w:ascii="宋体" w:hAnsi="宋体" w:eastAsia="宋体" w:cs="宋体"/>
          <w:sz w:val="21"/>
          <w:szCs w:val="21"/>
        </w:rPr>
      </w:pPr>
      <w:r>
        <w:rPr>
          <w:rFonts w:ascii="宋体" w:hAnsi="宋体" w:eastAsia="宋体" w:cs="宋体"/>
          <w:b/>
          <w:bCs/>
          <w:spacing w:val="2"/>
          <w:sz w:val="21"/>
          <w:szCs w:val="21"/>
        </w:rPr>
        <w:t>5.5.2</w:t>
      </w:r>
      <w:r>
        <w:rPr>
          <w:rFonts w:ascii="宋体" w:hAnsi="宋体" w:eastAsia="宋体" w:cs="宋体"/>
          <w:spacing w:val="2"/>
          <w:sz w:val="21"/>
          <w:szCs w:val="21"/>
        </w:rPr>
        <w:t>楼地面标高高出室外地坪的</w:t>
      </w:r>
      <w:r>
        <w:rPr>
          <w:rFonts w:ascii="宋体" w:hAnsi="宋体" w:eastAsia="宋体" w:cs="宋体"/>
          <w:spacing w:val="1"/>
          <w:sz w:val="21"/>
          <w:szCs w:val="21"/>
        </w:rPr>
        <w:t>楼层，宜在每层消防电梯前</w:t>
      </w:r>
      <w:r>
        <w:rPr>
          <w:rFonts w:ascii="宋体" w:hAnsi="宋体" w:eastAsia="宋体" w:cs="宋体"/>
          <w:spacing w:val="7"/>
          <w:sz w:val="21"/>
          <w:szCs w:val="21"/>
        </w:rPr>
        <w:t>室或邻近的楼梯间内设置出口公称直径为</w:t>
      </w:r>
      <w:r>
        <w:rPr>
          <w:rFonts w:ascii="Times New Roman" w:hAnsi="Times New Roman" w:eastAsia="Times New Roman" w:cs="Times New Roman"/>
          <w:sz w:val="21"/>
          <w:szCs w:val="21"/>
        </w:rPr>
        <w:t>DN</w:t>
      </w:r>
      <w:r>
        <w:rPr>
          <w:rFonts w:ascii="Times New Roman" w:hAnsi="Times New Roman" w:eastAsia="Times New Roman" w:cs="Times New Roman"/>
          <w:spacing w:val="7"/>
          <w:sz w:val="21"/>
          <w:szCs w:val="21"/>
        </w:rPr>
        <w:t>65</w:t>
      </w:r>
      <w:r>
        <w:rPr>
          <w:rFonts w:ascii="宋体" w:hAnsi="宋体" w:eastAsia="宋体" w:cs="宋体"/>
          <w:spacing w:val="7"/>
          <w:sz w:val="21"/>
          <w:szCs w:val="21"/>
        </w:rPr>
        <w:t>的双阀双出口</w:t>
      </w:r>
      <w:r>
        <w:rPr>
          <w:rFonts w:ascii="宋体" w:hAnsi="宋体" w:eastAsia="宋体" w:cs="宋体"/>
          <w:spacing w:val="-9"/>
          <w:sz w:val="21"/>
          <w:szCs w:val="21"/>
        </w:rPr>
        <w:t>消火栓。</w:t>
      </w:r>
    </w:p>
    <w:p>
      <w:pPr>
        <w:pStyle w:val="2"/>
        <w:spacing w:before="60" w:line="261" w:lineRule="auto"/>
        <w:ind w:right="19"/>
        <w:rPr>
          <w:rFonts w:ascii="宋体" w:hAnsi="宋体" w:eastAsia="宋体" w:cs="宋体"/>
        </w:rPr>
      </w:pPr>
      <w:r>
        <w:rPr>
          <w:b/>
          <w:bCs/>
          <w:spacing w:val="3"/>
        </w:rPr>
        <w:t>5.5.3</w:t>
      </w:r>
      <w:r>
        <w:rPr>
          <w:rFonts w:ascii="宋体" w:hAnsi="宋体" w:eastAsia="宋体" w:cs="宋体"/>
          <w:spacing w:val="3"/>
        </w:rPr>
        <w:t>压缩空气泡沫消火栓系统应独立设置，且应设置不少于</w:t>
      </w:r>
      <w:r>
        <w:rPr>
          <w:rFonts w:ascii="宋体" w:hAnsi="宋体" w:eastAsia="宋体" w:cs="宋体"/>
        </w:rPr>
        <w:t>1根压缩空气泡沫竖管，管道的公称直径宜为</w:t>
      </w:r>
      <w:r>
        <w:rPr>
          <w:rFonts w:ascii="Times New Roman" w:hAnsi="Times New Roman" w:eastAsia="Times New Roman" w:cs="Times New Roman"/>
        </w:rPr>
        <w:t>DN80,</w:t>
      </w:r>
      <w:r>
        <w:rPr>
          <w:rFonts w:ascii="宋体" w:hAnsi="宋体" w:eastAsia="宋体" w:cs="宋体"/>
        </w:rPr>
        <w:t>竖管顶部应</w:t>
      </w:r>
      <w:r>
        <w:rPr>
          <w:rFonts w:ascii="宋体" w:hAnsi="宋体" w:eastAsia="宋体" w:cs="宋体"/>
          <w:spacing w:val="-8"/>
        </w:rPr>
        <w:t>设置放气阀，底部应设置排空阀。</w:t>
      </w:r>
    </w:p>
    <w:p>
      <w:pPr>
        <w:spacing w:before="59" w:line="261" w:lineRule="auto"/>
        <w:ind w:right="20" w:firstLine="3"/>
        <w:rPr>
          <w:rFonts w:ascii="宋体" w:hAnsi="宋体" w:eastAsia="宋体" w:cs="宋体"/>
          <w:sz w:val="21"/>
          <w:szCs w:val="21"/>
        </w:rPr>
      </w:pPr>
      <w:r>
        <w:rPr>
          <w:rFonts w:ascii="宋体" w:hAnsi="宋体" w:eastAsia="宋体" w:cs="宋体"/>
          <w:b/>
          <w:bCs/>
          <w:spacing w:val="2"/>
          <w:sz w:val="21"/>
          <w:szCs w:val="21"/>
        </w:rPr>
        <w:t>5.5.4</w:t>
      </w:r>
      <w:r>
        <w:rPr>
          <w:rFonts w:ascii="宋体" w:hAnsi="宋体" w:eastAsia="宋体" w:cs="宋体"/>
          <w:spacing w:val="2"/>
          <w:sz w:val="21"/>
          <w:szCs w:val="21"/>
        </w:rPr>
        <w:t>在建筑的首层空外应设置压</w:t>
      </w:r>
      <w:r>
        <w:rPr>
          <w:rFonts w:ascii="宋体" w:hAnsi="宋体" w:eastAsia="宋体" w:cs="宋体"/>
          <w:spacing w:val="1"/>
          <w:sz w:val="21"/>
          <w:szCs w:val="21"/>
        </w:rPr>
        <w:t>缩空气泡沫消防车专用水泵</w:t>
      </w:r>
      <w:r>
        <w:rPr>
          <w:rFonts w:ascii="宋体" w:hAnsi="宋体" w:eastAsia="宋体" w:cs="宋体"/>
          <w:spacing w:val="-9"/>
          <w:sz w:val="21"/>
          <w:szCs w:val="21"/>
        </w:rPr>
        <w:t>接合器，并应设置注明系统额定压力和“压缩空气泡沫专用”的永</w:t>
      </w:r>
      <w:r>
        <w:rPr>
          <w:rFonts w:ascii="宋体" w:hAnsi="宋体" w:eastAsia="宋体" w:cs="宋体"/>
          <w:spacing w:val="-4"/>
          <w:sz w:val="21"/>
          <w:szCs w:val="21"/>
        </w:rPr>
        <w:t>久性固定标志，其接口公称直径不应小于</w:t>
      </w:r>
      <w:r>
        <w:rPr>
          <w:rFonts w:ascii="Times New Roman" w:hAnsi="Times New Roman" w:eastAsia="Times New Roman" w:cs="Times New Roman"/>
          <w:spacing w:val="-4"/>
          <w:sz w:val="21"/>
          <w:szCs w:val="21"/>
        </w:rPr>
        <w:t>DN65</w:t>
      </w:r>
      <w:r>
        <w:rPr>
          <w:rFonts w:ascii="宋体" w:hAnsi="宋体" w:eastAsia="宋体" w:cs="宋体"/>
          <w:spacing w:val="-4"/>
          <w:sz w:val="21"/>
          <w:szCs w:val="21"/>
        </w:rPr>
        <w:t>。</w:t>
      </w:r>
    </w:p>
    <w:p>
      <w:pPr>
        <w:spacing w:before="62" w:line="259" w:lineRule="auto"/>
        <w:ind w:right="3" w:firstLine="3"/>
        <w:rPr>
          <w:rFonts w:ascii="宋体" w:hAnsi="宋体" w:eastAsia="宋体" w:cs="宋体"/>
          <w:sz w:val="21"/>
          <w:szCs w:val="21"/>
        </w:rPr>
      </w:pPr>
      <w:r>
        <w:rPr>
          <w:rFonts w:ascii="宋体" w:hAnsi="宋体" w:eastAsia="宋体" w:cs="宋体"/>
          <w:b/>
          <w:bCs/>
          <w:spacing w:val="2"/>
          <w:sz w:val="21"/>
          <w:szCs w:val="21"/>
        </w:rPr>
        <w:t>5.5.5</w:t>
      </w:r>
      <w:r>
        <w:rPr>
          <w:rFonts w:ascii="宋体" w:hAnsi="宋体" w:eastAsia="宋体" w:cs="宋体"/>
          <w:spacing w:val="2"/>
          <w:sz w:val="21"/>
          <w:szCs w:val="21"/>
        </w:rPr>
        <w:t>压缩空气泡沫消火栓系统宜采用不锈钢管或热浸镀锌无</w:t>
      </w:r>
      <w:r>
        <w:rPr>
          <w:rFonts w:ascii="宋体" w:hAnsi="宋体" w:eastAsia="宋体" w:cs="宋体"/>
          <w:spacing w:val="-2"/>
          <w:sz w:val="21"/>
          <w:szCs w:val="21"/>
        </w:rPr>
        <w:t>缝钢管。管材及管件、水泵接合器、室内消火栓等产品的额定工</w:t>
      </w:r>
      <w:r>
        <w:rPr>
          <w:rFonts w:ascii="宋体" w:hAnsi="宋体" w:eastAsia="宋体" w:cs="宋体"/>
          <w:spacing w:val="6"/>
          <w:sz w:val="21"/>
          <w:szCs w:val="21"/>
        </w:rPr>
        <w:t>作压力等级应大于系统工作压力。管道的连接宜采用沟槽连接</w:t>
      </w:r>
      <w:r>
        <w:rPr>
          <w:rFonts w:ascii="宋体" w:hAnsi="宋体" w:eastAsia="宋体" w:cs="宋体"/>
          <w:spacing w:val="-10"/>
          <w:sz w:val="21"/>
          <w:szCs w:val="21"/>
        </w:rPr>
        <w:t>件(卡箍)、法兰等方式。</w:t>
      </w:r>
    </w:p>
    <w:p>
      <w:pPr>
        <w:pStyle w:val="2"/>
        <w:spacing w:line="317" w:lineRule="auto"/>
      </w:pPr>
    </w:p>
    <w:p>
      <w:pPr>
        <w:spacing w:before="69" w:line="219" w:lineRule="auto"/>
        <w:ind w:left="2162"/>
        <w:outlineLvl w:val="1"/>
        <w:rPr>
          <w:rFonts w:ascii="宋体" w:hAnsi="宋体" w:eastAsia="宋体" w:cs="宋体"/>
          <w:sz w:val="21"/>
          <w:szCs w:val="21"/>
        </w:rPr>
      </w:pPr>
      <w:bookmarkStart w:id="30" w:name="bookmark21"/>
      <w:bookmarkEnd w:id="30"/>
      <w:r>
        <w:rPr>
          <w:rFonts w:ascii="宋体" w:hAnsi="宋体" w:eastAsia="宋体" w:cs="宋体"/>
          <w:b/>
          <w:bCs/>
          <w:spacing w:val="-1"/>
          <w:sz w:val="21"/>
          <w:szCs w:val="21"/>
        </w:rPr>
        <w:t>5.6控制与操作</w:t>
      </w:r>
    </w:p>
    <w:p>
      <w:pPr>
        <w:pStyle w:val="2"/>
        <w:spacing w:line="323" w:lineRule="auto"/>
      </w:pPr>
    </w:p>
    <w:p>
      <w:pPr>
        <w:spacing w:before="68" w:line="219" w:lineRule="auto"/>
        <w:ind w:left="3"/>
        <w:rPr>
          <w:rFonts w:ascii="宋体" w:hAnsi="宋体" w:eastAsia="宋体" w:cs="宋体"/>
          <w:sz w:val="21"/>
          <w:szCs w:val="21"/>
        </w:rPr>
      </w:pPr>
      <w:r>
        <w:rPr>
          <w:rFonts w:ascii="宋体" w:hAnsi="宋体" w:eastAsia="宋体" w:cs="宋体"/>
          <w:b/>
          <w:bCs/>
          <w:spacing w:val="-2"/>
          <w:sz w:val="21"/>
          <w:szCs w:val="21"/>
        </w:rPr>
        <w:t>5.6.1</w:t>
      </w:r>
      <w:r>
        <w:rPr>
          <w:rFonts w:ascii="宋体" w:hAnsi="宋体" w:eastAsia="宋体" w:cs="宋体"/>
          <w:spacing w:val="-2"/>
          <w:sz w:val="21"/>
          <w:szCs w:val="21"/>
        </w:rPr>
        <w:t>消防给水系统及消防水泵的控制应符合下列规定：</w:t>
      </w:r>
    </w:p>
    <w:p>
      <w:pPr>
        <w:spacing w:line="219" w:lineRule="auto"/>
        <w:rPr>
          <w:rFonts w:ascii="宋体" w:hAnsi="宋体" w:eastAsia="宋体" w:cs="宋体"/>
          <w:sz w:val="21"/>
          <w:szCs w:val="21"/>
        </w:rPr>
        <w:sectPr>
          <w:footerReference r:id="rId40" w:type="default"/>
          <w:pgSz w:w="8280" w:h="11850"/>
          <w:pgMar w:top="400" w:right="1208" w:bottom="1330" w:left="1210" w:header="0" w:footer="1057" w:gutter="0"/>
          <w:cols w:space="720" w:num="1"/>
        </w:sectPr>
      </w:pPr>
    </w:p>
    <w:p>
      <w:pPr>
        <w:pStyle w:val="2"/>
        <w:spacing w:line="297" w:lineRule="auto"/>
      </w:pPr>
    </w:p>
    <w:p>
      <w:pPr>
        <w:pStyle w:val="2"/>
        <w:spacing w:line="298" w:lineRule="auto"/>
      </w:pPr>
    </w:p>
    <w:p>
      <w:pPr>
        <w:pStyle w:val="2"/>
        <w:spacing w:line="298" w:lineRule="auto"/>
      </w:pPr>
    </w:p>
    <w:p>
      <w:pPr>
        <w:spacing w:before="69" w:line="255" w:lineRule="auto"/>
        <w:ind w:right="9" w:firstLine="429"/>
        <w:rPr>
          <w:rFonts w:ascii="宋体" w:hAnsi="宋体" w:eastAsia="宋体" w:cs="宋体"/>
          <w:sz w:val="21"/>
          <w:szCs w:val="21"/>
        </w:rPr>
      </w:pPr>
      <w:bookmarkStart w:id="31" w:name="bookmark85"/>
      <w:bookmarkEnd w:id="31"/>
      <w:r>
        <w:rPr>
          <w:rFonts w:ascii="宋体" w:hAnsi="宋体" w:eastAsia="宋体" w:cs="宋体"/>
          <w:spacing w:val="3"/>
          <w:sz w:val="21"/>
          <w:szCs w:val="21"/>
        </w:rPr>
        <w:t>1消防水泵应由消防水泵出水干管上压力开</w:t>
      </w:r>
      <w:r>
        <w:rPr>
          <w:rFonts w:ascii="宋体" w:hAnsi="宋体" w:eastAsia="宋体" w:cs="宋体"/>
          <w:spacing w:val="2"/>
          <w:sz w:val="21"/>
          <w:szCs w:val="21"/>
        </w:rPr>
        <w:t>关、高位消防</w:t>
      </w:r>
      <w:r>
        <w:rPr>
          <w:rFonts w:ascii="宋体" w:hAnsi="宋体" w:eastAsia="宋体" w:cs="宋体"/>
          <w:spacing w:val="6"/>
          <w:sz w:val="21"/>
          <w:szCs w:val="21"/>
        </w:rPr>
        <w:t>水箱出水的流量开关中任一信号动作后直接启动。分级或分区</w:t>
      </w:r>
      <w:r>
        <w:rPr>
          <w:rFonts w:ascii="宋体" w:hAnsi="宋体" w:eastAsia="宋体" w:cs="宋体"/>
          <w:spacing w:val="-2"/>
          <w:sz w:val="21"/>
          <w:szCs w:val="21"/>
        </w:rPr>
        <w:t>设置的消防水泵和转输水泵应满足其连锁启动的逻辑关系。</w:t>
      </w:r>
    </w:p>
    <w:p>
      <w:pPr>
        <w:spacing w:before="59" w:line="255" w:lineRule="auto"/>
        <w:ind w:right="9" w:firstLine="432"/>
        <w:rPr>
          <w:rFonts w:ascii="宋体" w:hAnsi="宋体" w:eastAsia="宋体" w:cs="宋体"/>
          <w:sz w:val="21"/>
          <w:szCs w:val="21"/>
        </w:rPr>
      </w:pPr>
      <w:r>
        <w:rPr>
          <w:rFonts w:ascii="宋体" w:hAnsi="宋体" w:eastAsia="宋体" w:cs="宋体"/>
          <w:b/>
          <w:bCs/>
          <w:spacing w:val="2"/>
          <w:sz w:val="21"/>
          <w:szCs w:val="21"/>
        </w:rPr>
        <w:t>2</w:t>
      </w:r>
      <w:r>
        <w:rPr>
          <w:rFonts w:ascii="宋体" w:hAnsi="宋体" w:eastAsia="宋体" w:cs="宋体"/>
          <w:spacing w:val="2"/>
          <w:sz w:val="21"/>
          <w:szCs w:val="21"/>
        </w:rPr>
        <w:t>临时高压消火栓消防系统的消防水泵应由水泵出水干管</w:t>
      </w:r>
      <w:r>
        <w:rPr>
          <w:rFonts w:ascii="宋体" w:hAnsi="宋体" w:eastAsia="宋体" w:cs="宋体"/>
          <w:spacing w:val="6"/>
          <w:sz w:val="21"/>
          <w:szCs w:val="21"/>
        </w:rPr>
        <w:t>上设置的压力开关或高位消防水箱出水管上设置的流量开关信</w:t>
      </w:r>
      <w:r>
        <w:rPr>
          <w:rFonts w:ascii="宋体" w:hAnsi="宋体" w:eastAsia="宋体" w:cs="宋体"/>
          <w:spacing w:val="-4"/>
          <w:sz w:val="21"/>
          <w:szCs w:val="21"/>
        </w:rPr>
        <w:t>号直接自动启动消防水泵。</w:t>
      </w:r>
    </w:p>
    <w:p>
      <w:pPr>
        <w:spacing w:before="111" w:line="250" w:lineRule="auto"/>
        <w:ind w:right="4" w:firstLine="432"/>
        <w:rPr>
          <w:rFonts w:ascii="宋体" w:hAnsi="宋体" w:eastAsia="宋体" w:cs="宋体"/>
          <w:sz w:val="21"/>
          <w:szCs w:val="21"/>
        </w:rPr>
      </w:pPr>
      <w:r>
        <w:rPr>
          <w:rFonts w:ascii="宋体" w:hAnsi="宋体" w:eastAsia="宋体" w:cs="宋体"/>
          <w:b/>
          <w:bCs/>
          <w:spacing w:val="3"/>
          <w:sz w:val="21"/>
          <w:szCs w:val="21"/>
        </w:rPr>
        <w:t>3</w:t>
      </w:r>
      <w:r>
        <w:rPr>
          <w:rFonts w:ascii="宋体" w:hAnsi="宋体" w:eastAsia="宋体" w:cs="宋体"/>
          <w:spacing w:val="3"/>
          <w:sz w:val="21"/>
          <w:szCs w:val="21"/>
        </w:rPr>
        <w:t>高压消防给水系统消防转输水泵，应由高</w:t>
      </w:r>
      <w:r>
        <w:rPr>
          <w:rFonts w:ascii="宋体" w:hAnsi="宋体" w:eastAsia="宋体" w:cs="宋体"/>
          <w:spacing w:val="2"/>
          <w:sz w:val="21"/>
          <w:szCs w:val="21"/>
        </w:rPr>
        <w:t>位消防水池的</w:t>
      </w:r>
      <w:r>
        <w:rPr>
          <w:rFonts w:ascii="宋体" w:hAnsi="宋体" w:eastAsia="宋体" w:cs="宋体"/>
          <w:spacing w:val="-2"/>
          <w:sz w:val="21"/>
          <w:szCs w:val="21"/>
        </w:rPr>
        <w:t>水位下降信号作为各级转输水泵的自动启动触发信号。</w:t>
      </w:r>
    </w:p>
    <w:p>
      <w:pPr>
        <w:spacing w:before="70" w:line="246" w:lineRule="auto"/>
        <w:ind w:firstLine="432"/>
        <w:rPr>
          <w:rFonts w:ascii="宋体" w:hAnsi="宋体" w:eastAsia="宋体" w:cs="宋体"/>
          <w:sz w:val="21"/>
          <w:szCs w:val="21"/>
        </w:rPr>
      </w:pPr>
      <w:r>
        <w:rPr>
          <w:rFonts w:ascii="宋体" w:hAnsi="宋体" w:eastAsia="宋体" w:cs="宋体"/>
          <w:b/>
          <w:bCs/>
          <w:spacing w:val="-5"/>
          <w:sz w:val="21"/>
          <w:szCs w:val="21"/>
        </w:rPr>
        <w:t>4</w:t>
      </w:r>
      <w:r>
        <w:rPr>
          <w:rFonts w:ascii="宋体" w:hAnsi="宋体" w:eastAsia="宋体" w:cs="宋体"/>
          <w:spacing w:val="-5"/>
          <w:sz w:val="21"/>
          <w:szCs w:val="21"/>
        </w:rPr>
        <w:t>消防水泵、转输水箱串联消防给水系统，应先启动上区消</w:t>
      </w:r>
      <w:r>
        <w:rPr>
          <w:rFonts w:ascii="宋体" w:hAnsi="宋体" w:eastAsia="宋体" w:cs="宋体"/>
          <w:spacing w:val="-7"/>
          <w:sz w:val="21"/>
          <w:szCs w:val="21"/>
        </w:rPr>
        <w:t>防水泵，并由上区消防水泵联动转输水泵。</w:t>
      </w:r>
    </w:p>
    <w:p>
      <w:pPr>
        <w:spacing w:before="71" w:line="255" w:lineRule="auto"/>
        <w:ind w:right="5" w:firstLine="432"/>
        <w:rPr>
          <w:rFonts w:ascii="宋体" w:hAnsi="宋体" w:eastAsia="宋体" w:cs="宋体"/>
          <w:sz w:val="21"/>
          <w:szCs w:val="21"/>
        </w:rPr>
      </w:pPr>
      <w:r>
        <w:rPr>
          <w:rFonts w:ascii="宋体" w:hAnsi="宋体" w:eastAsia="宋体" w:cs="宋体"/>
          <w:b/>
          <w:bCs/>
          <w:spacing w:val="2"/>
          <w:sz w:val="21"/>
          <w:szCs w:val="21"/>
        </w:rPr>
        <w:t>5</w:t>
      </w:r>
      <w:r>
        <w:rPr>
          <w:rFonts w:ascii="宋体" w:hAnsi="宋体" w:eastAsia="宋体" w:cs="宋体"/>
          <w:spacing w:val="2"/>
          <w:sz w:val="21"/>
          <w:szCs w:val="21"/>
        </w:rPr>
        <w:t>消防水泵直接串联消防给水系统，上级消防水泵的启泵</w:t>
      </w:r>
      <w:r>
        <w:rPr>
          <w:rFonts w:ascii="宋体" w:hAnsi="宋体" w:eastAsia="宋体" w:cs="宋体"/>
          <w:spacing w:val="-8"/>
          <w:sz w:val="21"/>
          <w:szCs w:val="21"/>
        </w:rPr>
        <w:t>触发信号，应先启动下区消防加压泵，上、下级消防泵联锁启动的</w:t>
      </w:r>
      <w:r>
        <w:rPr>
          <w:rFonts w:ascii="宋体" w:hAnsi="宋体" w:eastAsia="宋体" w:cs="宋体"/>
          <w:spacing w:val="5"/>
          <w:sz w:val="21"/>
          <w:szCs w:val="21"/>
        </w:rPr>
        <w:t>时间间隔不应大于20s。</w:t>
      </w:r>
    </w:p>
    <w:p>
      <w:pPr>
        <w:spacing w:before="78" w:line="255" w:lineRule="auto"/>
        <w:ind w:right="1" w:firstLine="3"/>
        <w:rPr>
          <w:rFonts w:ascii="宋体" w:hAnsi="宋体" w:eastAsia="宋体" w:cs="宋体"/>
          <w:sz w:val="21"/>
          <w:szCs w:val="21"/>
        </w:rPr>
      </w:pPr>
      <w:r>
        <w:rPr>
          <w:rFonts w:ascii="宋体" w:hAnsi="宋体" w:eastAsia="宋体" w:cs="宋体"/>
          <w:b/>
          <w:bCs/>
          <w:spacing w:val="2"/>
          <w:sz w:val="21"/>
          <w:szCs w:val="21"/>
        </w:rPr>
        <w:t>5.6.2</w:t>
      </w:r>
      <w:r>
        <w:rPr>
          <w:rFonts w:ascii="宋体" w:hAnsi="宋体" w:eastAsia="宋体" w:cs="宋体"/>
          <w:spacing w:val="2"/>
          <w:sz w:val="21"/>
          <w:szCs w:val="21"/>
        </w:rPr>
        <w:t>消防稳压泵的设计压力应满足系统自动启动和管网充满</w:t>
      </w:r>
      <w:r>
        <w:rPr>
          <w:rFonts w:ascii="宋体" w:hAnsi="宋体" w:eastAsia="宋体" w:cs="宋体"/>
          <w:spacing w:val="-1"/>
          <w:sz w:val="21"/>
          <w:szCs w:val="21"/>
        </w:rPr>
        <w:t>水的要求；稳压泵的启动压力值、消防稳压泵的停止压力值的差</w:t>
      </w:r>
      <w:r>
        <w:rPr>
          <w:rFonts w:ascii="宋体" w:hAnsi="宋体" w:eastAsia="宋体" w:cs="宋体"/>
          <w:spacing w:val="-3"/>
          <w:sz w:val="21"/>
          <w:szCs w:val="21"/>
        </w:rPr>
        <w:t>值不应小于0.07</w:t>
      </w:r>
      <w:r>
        <w:rPr>
          <w:rFonts w:ascii="Times New Roman" w:hAnsi="Times New Roman" w:eastAsia="Times New Roman" w:cs="Times New Roman"/>
          <w:spacing w:val="-3"/>
          <w:sz w:val="21"/>
          <w:szCs w:val="21"/>
        </w:rPr>
        <w:t>MPa</w:t>
      </w:r>
      <w:r>
        <w:rPr>
          <w:rFonts w:ascii="宋体" w:hAnsi="宋体" w:eastAsia="宋体" w:cs="宋体"/>
          <w:spacing w:val="-3"/>
          <w:sz w:val="21"/>
          <w:szCs w:val="21"/>
        </w:rPr>
        <w:t>。</w:t>
      </w:r>
    </w:p>
    <w:p>
      <w:pPr>
        <w:spacing w:before="71" w:line="256" w:lineRule="auto"/>
        <w:ind w:firstLine="3"/>
        <w:rPr>
          <w:rFonts w:ascii="宋体" w:hAnsi="宋体" w:eastAsia="宋体" w:cs="宋体"/>
          <w:sz w:val="21"/>
          <w:szCs w:val="21"/>
        </w:rPr>
      </w:pPr>
      <w:r>
        <w:rPr>
          <w:rFonts w:ascii="宋体" w:hAnsi="宋体" w:eastAsia="宋体" w:cs="宋体"/>
          <w:b/>
          <w:bCs/>
          <w:spacing w:val="2"/>
          <w:sz w:val="21"/>
          <w:szCs w:val="21"/>
        </w:rPr>
        <w:t>5.6.3</w:t>
      </w:r>
      <w:r>
        <w:rPr>
          <w:rFonts w:ascii="宋体" w:hAnsi="宋体" w:eastAsia="宋体" w:cs="宋体"/>
          <w:spacing w:val="2"/>
          <w:sz w:val="21"/>
          <w:szCs w:val="21"/>
        </w:rPr>
        <w:t>消防水泵的启泵压力设置点处压力设定值，当采用设置</w:t>
      </w:r>
      <w:r>
        <w:rPr>
          <w:rFonts w:ascii="宋体" w:hAnsi="宋体" w:eastAsia="宋体" w:cs="宋体"/>
          <w:spacing w:val="-1"/>
          <w:sz w:val="21"/>
          <w:szCs w:val="21"/>
        </w:rPr>
        <w:t>稳压装置稳压的临时高压给水系统时，与稳压泵启动压力的差值</w:t>
      </w:r>
      <w:r>
        <w:rPr>
          <w:rFonts w:ascii="宋体" w:hAnsi="宋体" w:eastAsia="宋体" w:cs="宋体"/>
          <w:spacing w:val="-3"/>
          <w:sz w:val="21"/>
          <w:szCs w:val="21"/>
        </w:rPr>
        <w:t>不应小于0.05</w:t>
      </w:r>
      <w:r>
        <w:rPr>
          <w:rFonts w:ascii="Times New Roman" w:hAnsi="Times New Roman" w:eastAsia="Times New Roman" w:cs="Times New Roman"/>
          <w:spacing w:val="-3"/>
          <w:sz w:val="21"/>
          <w:szCs w:val="21"/>
        </w:rPr>
        <w:t>MPa</w:t>
      </w:r>
      <w:r>
        <w:rPr>
          <w:rFonts w:ascii="宋体" w:hAnsi="宋体" w:eastAsia="宋体" w:cs="宋体"/>
          <w:spacing w:val="-3"/>
          <w:sz w:val="21"/>
          <w:szCs w:val="21"/>
        </w:rPr>
        <w:t>。</w:t>
      </w:r>
    </w:p>
    <w:p>
      <w:pPr>
        <w:spacing w:before="76" w:line="250" w:lineRule="auto"/>
        <w:ind w:right="11" w:firstLine="3"/>
        <w:rPr>
          <w:rFonts w:ascii="宋体" w:hAnsi="宋体" w:eastAsia="宋体" w:cs="宋体"/>
          <w:sz w:val="21"/>
          <w:szCs w:val="21"/>
        </w:rPr>
      </w:pPr>
      <w:r>
        <w:rPr>
          <w:rFonts w:ascii="宋体" w:hAnsi="宋体" w:eastAsia="宋体" w:cs="宋体"/>
          <w:b/>
          <w:bCs/>
          <w:spacing w:val="3"/>
          <w:sz w:val="21"/>
          <w:szCs w:val="21"/>
        </w:rPr>
        <w:t>5.6.4</w:t>
      </w:r>
      <w:r>
        <w:rPr>
          <w:rFonts w:ascii="宋体" w:hAnsi="宋体" w:eastAsia="宋体" w:cs="宋体"/>
          <w:spacing w:val="3"/>
          <w:sz w:val="21"/>
          <w:szCs w:val="21"/>
        </w:rPr>
        <w:t>消防水泵控制柜应设置在消防水泵房或专用消防水泵控</w:t>
      </w:r>
      <w:r>
        <w:rPr>
          <w:rFonts w:ascii="宋体" w:hAnsi="宋体" w:eastAsia="宋体" w:cs="宋体"/>
          <w:spacing w:val="-10"/>
          <w:sz w:val="21"/>
          <w:szCs w:val="21"/>
        </w:rPr>
        <w:t>制室内，并应符合下列要求：</w:t>
      </w:r>
    </w:p>
    <w:p>
      <w:pPr>
        <w:spacing w:before="81" w:line="246" w:lineRule="auto"/>
        <w:ind w:right="10" w:firstLine="429"/>
        <w:rPr>
          <w:rFonts w:ascii="宋体" w:hAnsi="宋体" w:eastAsia="宋体" w:cs="宋体"/>
          <w:sz w:val="21"/>
          <w:szCs w:val="21"/>
        </w:rPr>
      </w:pPr>
      <w:r>
        <w:rPr>
          <w:rFonts w:ascii="宋体" w:hAnsi="宋体" w:eastAsia="宋体" w:cs="宋体"/>
          <w:spacing w:val="-5"/>
          <w:sz w:val="21"/>
          <w:szCs w:val="21"/>
        </w:rPr>
        <w:t>1消防水泵控制柜应有对消防供电的电压、电流、功率进行</w:t>
      </w:r>
      <w:r>
        <w:rPr>
          <w:rFonts w:ascii="宋体" w:hAnsi="宋体" w:eastAsia="宋体" w:cs="宋体"/>
          <w:spacing w:val="-8"/>
          <w:sz w:val="21"/>
          <w:szCs w:val="21"/>
        </w:rPr>
        <w:t>检测的功能，对低电压应有报警功能。</w:t>
      </w:r>
    </w:p>
    <w:p>
      <w:pPr>
        <w:spacing w:before="50" w:line="254" w:lineRule="auto"/>
        <w:ind w:right="10" w:firstLine="429"/>
        <w:rPr>
          <w:rFonts w:ascii="宋体" w:hAnsi="宋体" w:eastAsia="宋体" w:cs="宋体"/>
          <w:sz w:val="21"/>
          <w:szCs w:val="21"/>
        </w:rPr>
      </w:pPr>
      <w:r>
        <w:rPr>
          <w:rFonts w:ascii="宋体" w:hAnsi="宋体" w:eastAsia="宋体" w:cs="宋体"/>
          <w:spacing w:val="3"/>
          <w:sz w:val="21"/>
          <w:szCs w:val="21"/>
        </w:rPr>
        <w:t>2当消防水泵控制柜距离消防水泵较远时</w:t>
      </w:r>
      <w:r>
        <w:rPr>
          <w:rFonts w:ascii="宋体" w:hAnsi="宋体" w:eastAsia="宋体" w:cs="宋体"/>
          <w:spacing w:val="2"/>
          <w:sz w:val="21"/>
          <w:szCs w:val="21"/>
        </w:rPr>
        <w:t>，应在消防水泵</w:t>
      </w:r>
      <w:r>
        <w:rPr>
          <w:rFonts w:ascii="宋体" w:hAnsi="宋体" w:eastAsia="宋体" w:cs="宋体"/>
          <w:spacing w:val="-7"/>
          <w:sz w:val="21"/>
          <w:szCs w:val="21"/>
        </w:rPr>
        <w:t>附近设置紧急停泵按钮，且应有保护装置。</w:t>
      </w:r>
    </w:p>
    <w:p>
      <w:pPr>
        <w:spacing w:before="63" w:line="236" w:lineRule="auto"/>
        <w:ind w:right="8" w:firstLine="429"/>
        <w:rPr>
          <w:rFonts w:ascii="宋体" w:hAnsi="宋体" w:eastAsia="宋体" w:cs="宋体"/>
          <w:sz w:val="21"/>
          <w:szCs w:val="21"/>
        </w:rPr>
      </w:pPr>
      <w:r>
        <w:rPr>
          <w:rFonts w:ascii="宋体" w:hAnsi="宋体" w:eastAsia="宋体" w:cs="宋体"/>
          <w:spacing w:val="12"/>
          <w:sz w:val="21"/>
          <w:szCs w:val="21"/>
        </w:rPr>
        <w:t>3当消防水泵控制柜设巡检功能时，巡检周期不宜大于</w:t>
      </w:r>
      <w:r>
        <w:rPr>
          <w:rFonts w:ascii="Times New Roman" w:hAnsi="Times New Roman" w:eastAsia="Times New Roman" w:cs="Times New Roman"/>
          <w:spacing w:val="-1"/>
          <w:sz w:val="21"/>
          <w:szCs w:val="21"/>
        </w:rPr>
        <w:t>7d,</w:t>
      </w:r>
      <w:r>
        <w:rPr>
          <w:rFonts w:ascii="宋体" w:hAnsi="宋体" w:eastAsia="宋体" w:cs="宋体"/>
          <w:spacing w:val="-1"/>
          <w:sz w:val="21"/>
          <w:szCs w:val="21"/>
        </w:rPr>
        <w:t>且应能按需要任意设定。</w:t>
      </w:r>
    </w:p>
    <w:p>
      <w:pPr>
        <w:spacing w:before="93" w:line="273" w:lineRule="auto"/>
        <w:ind w:right="10" w:firstLine="3"/>
        <w:rPr>
          <w:rFonts w:ascii="宋体" w:hAnsi="宋体" w:eastAsia="宋体" w:cs="宋体"/>
          <w:sz w:val="21"/>
          <w:szCs w:val="21"/>
        </w:rPr>
      </w:pPr>
      <w:r>
        <w:rPr>
          <w:rFonts w:ascii="宋体" w:hAnsi="宋体" w:eastAsia="宋体" w:cs="宋体"/>
          <w:b/>
          <w:bCs/>
          <w:spacing w:val="2"/>
          <w:sz w:val="21"/>
          <w:szCs w:val="21"/>
        </w:rPr>
        <w:t>5.6.5</w:t>
      </w:r>
      <w:r>
        <w:rPr>
          <w:rFonts w:ascii="宋体" w:hAnsi="宋体" w:eastAsia="宋体" w:cs="宋体"/>
          <w:spacing w:val="2"/>
          <w:sz w:val="21"/>
          <w:szCs w:val="21"/>
        </w:rPr>
        <w:t>消防水泵出水干管上的压力开关宜设置备用。压力开关</w:t>
      </w:r>
      <w:r>
        <w:rPr>
          <w:rFonts w:ascii="宋体" w:hAnsi="宋体" w:eastAsia="宋体" w:cs="宋体"/>
          <w:spacing w:val="-2"/>
          <w:sz w:val="21"/>
          <w:szCs w:val="21"/>
        </w:rPr>
        <w:t>和流量开关应具有锁定启泵参数的功能，宜具有远程监控其实时</w:t>
      </w:r>
    </w:p>
    <w:p>
      <w:pPr>
        <w:spacing w:line="273" w:lineRule="auto"/>
        <w:rPr>
          <w:rFonts w:ascii="宋体" w:hAnsi="宋体" w:eastAsia="宋体" w:cs="宋体"/>
          <w:sz w:val="21"/>
          <w:szCs w:val="21"/>
        </w:rPr>
        <w:sectPr>
          <w:footerReference r:id="rId41" w:type="default"/>
          <w:pgSz w:w="8280" w:h="11850"/>
          <w:pgMar w:top="400" w:right="1219" w:bottom="1300" w:left="1190" w:header="0" w:footer="1027" w:gutter="0"/>
          <w:cols w:space="720" w:num="1"/>
        </w:sectPr>
      </w:pPr>
    </w:p>
    <w:p>
      <w:pPr>
        <w:pStyle w:val="2"/>
        <w:spacing w:line="288" w:lineRule="auto"/>
      </w:pPr>
    </w:p>
    <w:p>
      <w:pPr>
        <w:pStyle w:val="2"/>
        <w:spacing w:line="288" w:lineRule="auto"/>
      </w:pPr>
    </w:p>
    <w:p>
      <w:pPr>
        <w:pStyle w:val="2"/>
        <w:spacing w:line="289" w:lineRule="auto"/>
      </w:pPr>
    </w:p>
    <w:p>
      <w:pPr>
        <w:spacing w:before="68" w:line="219" w:lineRule="auto"/>
        <w:rPr>
          <w:rFonts w:ascii="宋体" w:hAnsi="宋体" w:eastAsia="宋体" w:cs="宋体"/>
          <w:sz w:val="21"/>
          <w:szCs w:val="21"/>
        </w:rPr>
      </w:pPr>
      <w:r>
        <w:rPr>
          <w:rFonts w:ascii="宋体" w:hAnsi="宋体" w:eastAsia="宋体" w:cs="宋体"/>
          <w:spacing w:val="-3"/>
          <w:sz w:val="21"/>
          <w:szCs w:val="21"/>
        </w:rPr>
        <w:t>数据的功能。</w:t>
      </w:r>
    </w:p>
    <w:p>
      <w:pPr>
        <w:spacing w:before="45" w:line="262" w:lineRule="auto"/>
        <w:ind w:right="23" w:firstLine="3"/>
        <w:rPr>
          <w:rFonts w:ascii="宋体" w:hAnsi="宋体" w:eastAsia="宋体" w:cs="宋体"/>
          <w:sz w:val="21"/>
          <w:szCs w:val="21"/>
        </w:rPr>
      </w:pPr>
      <w:bookmarkStart w:id="32" w:name="bookmark86"/>
      <w:bookmarkEnd w:id="32"/>
      <w:r>
        <w:rPr>
          <w:rFonts w:ascii="宋体" w:hAnsi="宋体" w:eastAsia="宋体" w:cs="宋体"/>
          <w:b/>
          <w:bCs/>
          <w:sz w:val="21"/>
          <w:szCs w:val="21"/>
        </w:rPr>
        <w:t>5.6.6消火栓系统应设消火栓按钮作为报警信号。设置火灾自</w:t>
      </w:r>
      <w:r>
        <w:rPr>
          <w:rFonts w:ascii="宋体" w:hAnsi="宋体" w:eastAsia="宋体" w:cs="宋体"/>
          <w:b/>
          <w:bCs/>
          <w:spacing w:val="-4"/>
          <w:sz w:val="21"/>
          <w:szCs w:val="21"/>
        </w:rPr>
        <w:t>动报警系统时，消火栓按钮应作为报警信号及启动消防水泵的联</w:t>
      </w:r>
      <w:r>
        <w:rPr>
          <w:rFonts w:ascii="宋体" w:hAnsi="宋体" w:eastAsia="宋体" w:cs="宋体"/>
          <w:spacing w:val="-3"/>
          <w:sz w:val="21"/>
          <w:szCs w:val="21"/>
        </w:rPr>
        <w:t>动触发信号。</w:t>
      </w:r>
    </w:p>
    <w:p>
      <w:pPr>
        <w:spacing w:before="59" w:line="219" w:lineRule="auto"/>
        <w:ind w:left="3"/>
        <w:rPr>
          <w:rFonts w:ascii="宋体" w:hAnsi="宋体" w:eastAsia="宋体" w:cs="宋体"/>
          <w:sz w:val="21"/>
          <w:szCs w:val="21"/>
        </w:rPr>
      </w:pPr>
      <w:r>
        <w:rPr>
          <w:rFonts w:ascii="宋体" w:hAnsi="宋体" w:eastAsia="宋体" w:cs="宋体"/>
          <w:b/>
          <w:bCs/>
          <w:spacing w:val="-2"/>
          <w:sz w:val="21"/>
          <w:szCs w:val="21"/>
        </w:rPr>
        <w:t>5.6.7</w:t>
      </w:r>
      <w:r>
        <w:rPr>
          <w:rFonts w:ascii="宋体" w:hAnsi="宋体" w:eastAsia="宋体" w:cs="宋体"/>
          <w:spacing w:val="-2"/>
          <w:sz w:val="21"/>
          <w:szCs w:val="21"/>
        </w:rPr>
        <w:t>消防用电设备的动力供应应符合下列规定：</w:t>
      </w:r>
    </w:p>
    <w:p>
      <w:pPr>
        <w:pStyle w:val="2"/>
        <w:spacing w:before="79" w:line="262" w:lineRule="auto"/>
        <w:ind w:firstLine="429"/>
        <w:rPr>
          <w:rFonts w:ascii="宋体" w:hAnsi="宋体" w:eastAsia="宋体" w:cs="宋体"/>
        </w:rPr>
      </w:pPr>
      <w:r>
        <w:rPr>
          <w:rFonts w:ascii="宋体" w:hAnsi="宋体" w:eastAsia="宋体" w:cs="宋体"/>
          <w:spacing w:val="2"/>
        </w:rPr>
        <w:t>1当建筑物的室内临时高压消防给水系统仅采用稳压泵稳压，且建筑物室外消火栓设计流量大于20</w:t>
      </w:r>
      <w:r>
        <w:rPr>
          <w:spacing w:val="2"/>
        </w:rPr>
        <w:t>L/s</w:t>
      </w:r>
      <w:r>
        <w:rPr>
          <w:rFonts w:ascii="宋体" w:hAnsi="宋体" w:eastAsia="宋体" w:cs="宋体"/>
          <w:spacing w:val="2"/>
        </w:rPr>
        <w:t>和建筑高度大于</w:t>
      </w:r>
      <w:r>
        <w:rPr>
          <w:rFonts w:ascii="Times New Roman" w:hAnsi="Times New Roman" w:eastAsia="Times New Roman" w:cs="Times New Roman"/>
          <w:spacing w:val="-3"/>
        </w:rPr>
        <w:t>54m</w:t>
      </w:r>
      <w:r>
        <w:rPr>
          <w:rFonts w:ascii="宋体" w:hAnsi="宋体" w:eastAsia="宋体" w:cs="宋体"/>
          <w:spacing w:val="-3"/>
        </w:rPr>
        <w:t>的住宅时，消防水泵应按一级负荷要求供电；当不能满足一</w:t>
      </w:r>
      <w:r>
        <w:rPr>
          <w:rFonts w:ascii="宋体" w:hAnsi="宋体" w:eastAsia="宋体" w:cs="宋体"/>
          <w:spacing w:val="-1"/>
        </w:rPr>
        <w:t>级负荷要求供电时，应采用柴油发电机组作备用动力或采用柴油</w:t>
      </w:r>
      <w:r>
        <w:rPr>
          <w:rFonts w:ascii="宋体" w:hAnsi="宋体" w:eastAsia="宋体" w:cs="宋体"/>
          <w:spacing w:val="-3"/>
        </w:rPr>
        <w:t>机消防水泵。</w:t>
      </w:r>
    </w:p>
    <w:p>
      <w:pPr>
        <w:spacing w:before="73" w:line="261" w:lineRule="auto"/>
        <w:ind w:right="19" w:firstLine="429"/>
        <w:rPr>
          <w:rFonts w:ascii="宋体" w:hAnsi="宋体" w:eastAsia="宋体" w:cs="宋体"/>
          <w:sz w:val="21"/>
          <w:szCs w:val="21"/>
        </w:rPr>
      </w:pPr>
      <w:r>
        <w:rPr>
          <w:rFonts w:ascii="宋体" w:hAnsi="宋体" w:eastAsia="宋体" w:cs="宋体"/>
          <w:spacing w:val="2"/>
          <w:sz w:val="21"/>
          <w:szCs w:val="21"/>
        </w:rPr>
        <w:t>2消防泵、消防稳压泵及消防转输泵的配电应符合现行上海市工程建设规范《民用建筑电气防火设计标准》</w:t>
      </w:r>
      <w:r>
        <w:rPr>
          <w:rFonts w:ascii="Times New Roman" w:hAnsi="Times New Roman" w:eastAsia="Times New Roman" w:cs="Times New Roman"/>
          <w:sz w:val="21"/>
          <w:szCs w:val="21"/>
        </w:rPr>
        <w:t>DG</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TJ</w:t>
      </w:r>
      <w:r>
        <w:rPr>
          <w:rFonts w:ascii="Times New Roman" w:hAnsi="Times New Roman" w:eastAsia="Times New Roman" w:cs="Times New Roman"/>
          <w:spacing w:val="2"/>
          <w:sz w:val="21"/>
          <w:szCs w:val="21"/>
        </w:rPr>
        <w:t>08—</w:t>
      </w:r>
      <w:r>
        <w:rPr>
          <w:rFonts w:ascii="宋体" w:hAnsi="宋体" w:eastAsia="宋体" w:cs="宋体"/>
          <w:spacing w:val="2"/>
          <w:sz w:val="21"/>
          <w:szCs w:val="21"/>
        </w:rPr>
        <w:t>2048的相关规定。</w:t>
      </w:r>
    </w:p>
    <w:p>
      <w:pPr>
        <w:spacing w:before="34" w:line="256" w:lineRule="auto"/>
        <w:ind w:firstLine="429"/>
        <w:rPr>
          <w:rFonts w:ascii="宋体" w:hAnsi="宋体" w:eastAsia="宋体" w:cs="宋体"/>
          <w:sz w:val="21"/>
          <w:szCs w:val="21"/>
        </w:rPr>
      </w:pPr>
      <w:r>
        <w:rPr>
          <w:rFonts w:ascii="Times New Roman" w:hAnsi="Times New Roman" w:eastAsia="Times New Roman" w:cs="Times New Roman"/>
          <w:spacing w:val="6"/>
          <w:sz w:val="21"/>
          <w:szCs w:val="21"/>
        </w:rPr>
        <w:t>3</w:t>
      </w:r>
      <w:r>
        <w:rPr>
          <w:rFonts w:ascii="宋体" w:hAnsi="宋体" w:eastAsia="宋体" w:cs="宋体"/>
          <w:spacing w:val="6"/>
          <w:sz w:val="21"/>
          <w:szCs w:val="21"/>
        </w:rPr>
        <w:t>双路电源自动切换的时间不应大丁2</w:t>
      </w:r>
      <w:r>
        <w:rPr>
          <w:rFonts w:ascii="Times New Roman" w:hAnsi="Times New Roman" w:eastAsia="Times New Roman" w:cs="Times New Roman"/>
          <w:spacing w:val="6"/>
          <w:sz w:val="21"/>
          <w:szCs w:val="21"/>
        </w:rPr>
        <w:t>s,</w:t>
      </w:r>
      <w:r>
        <w:rPr>
          <w:rFonts w:ascii="宋体" w:hAnsi="宋体" w:eastAsia="宋体" w:cs="宋体"/>
          <w:spacing w:val="6"/>
          <w:sz w:val="21"/>
          <w:szCs w:val="21"/>
        </w:rPr>
        <w:t>当一路电源与内</w:t>
      </w:r>
      <w:r>
        <w:rPr>
          <w:rFonts w:ascii="宋体" w:hAnsi="宋体" w:eastAsia="宋体" w:cs="宋体"/>
          <w:spacing w:val="-2"/>
          <w:sz w:val="21"/>
          <w:szCs w:val="21"/>
        </w:rPr>
        <w:t>燃机动力切换时，切换时间不应大于15</w:t>
      </w:r>
      <w:r>
        <w:rPr>
          <w:rFonts w:ascii="Times New Roman" w:hAnsi="Times New Roman" w:eastAsia="Times New Roman" w:cs="Times New Roman"/>
          <w:spacing w:val="-2"/>
          <w:sz w:val="21"/>
          <w:szCs w:val="21"/>
        </w:rPr>
        <w:t>s</w:t>
      </w:r>
      <w:r>
        <w:rPr>
          <w:rFonts w:ascii="宋体" w:hAnsi="宋体" w:eastAsia="宋体" w:cs="宋体"/>
          <w:spacing w:val="-2"/>
          <w:sz w:val="21"/>
          <w:szCs w:val="21"/>
        </w:rPr>
        <w:t>。</w:t>
      </w:r>
    </w:p>
    <w:p>
      <w:pPr>
        <w:spacing w:line="256" w:lineRule="auto"/>
        <w:rPr>
          <w:rFonts w:ascii="宋体" w:hAnsi="宋体" w:eastAsia="宋体" w:cs="宋体"/>
          <w:sz w:val="21"/>
          <w:szCs w:val="21"/>
        </w:rPr>
        <w:sectPr>
          <w:footerReference r:id="rId42" w:type="default"/>
          <w:pgSz w:w="8280" w:h="11850"/>
          <w:pgMar w:top="400" w:right="1201" w:bottom="1320" w:left="1210" w:header="0" w:footer="1047" w:gutter="0"/>
          <w:cols w:space="720" w:num="1"/>
        </w:sectPr>
      </w:pPr>
    </w:p>
    <w:p>
      <w:pPr>
        <w:pStyle w:val="2"/>
        <w:spacing w:line="245" w:lineRule="auto"/>
      </w:pPr>
    </w:p>
    <w:p>
      <w:pPr>
        <w:pStyle w:val="2"/>
        <w:spacing w:line="245" w:lineRule="auto"/>
      </w:pPr>
    </w:p>
    <w:p>
      <w:pPr>
        <w:pStyle w:val="2"/>
        <w:spacing w:line="246" w:lineRule="auto"/>
      </w:pPr>
    </w:p>
    <w:p>
      <w:pPr>
        <w:pStyle w:val="2"/>
        <w:spacing w:line="246" w:lineRule="auto"/>
      </w:pPr>
    </w:p>
    <w:p>
      <w:pPr>
        <w:pStyle w:val="2"/>
        <w:spacing w:line="246" w:lineRule="auto"/>
      </w:pPr>
    </w:p>
    <w:p>
      <w:pPr>
        <w:pStyle w:val="2"/>
        <w:spacing w:line="246" w:lineRule="auto"/>
      </w:pPr>
    </w:p>
    <w:p>
      <w:pPr>
        <w:spacing w:before="91" w:line="221" w:lineRule="auto"/>
        <w:ind w:left="1628"/>
        <w:outlineLvl w:val="0"/>
        <w:rPr>
          <w:rFonts w:ascii="黑体" w:hAnsi="黑体" w:eastAsia="黑体" w:cs="黑体"/>
          <w:sz w:val="28"/>
          <w:szCs w:val="28"/>
        </w:rPr>
      </w:pPr>
      <w:bookmarkStart w:id="33" w:name="bookmark22"/>
      <w:bookmarkEnd w:id="33"/>
      <w:bookmarkStart w:id="100" w:name="_GoBack"/>
      <w:bookmarkEnd w:id="100"/>
      <w:r>
        <w:rPr>
          <w:rFonts w:ascii="宋体" w:hAnsi="宋体" w:eastAsia="宋体" w:cs="宋体"/>
          <w:b/>
          <w:bCs/>
          <w:spacing w:val="-3"/>
          <w:sz w:val="28"/>
          <w:szCs w:val="28"/>
        </w:rPr>
        <w:t>6</w:t>
      </w:r>
      <w:r>
        <w:rPr>
          <w:rFonts w:ascii="黑体" w:hAnsi="黑体" w:eastAsia="黑体" w:cs="黑体"/>
          <w:b/>
          <w:bCs/>
          <w:spacing w:val="-3"/>
          <w:sz w:val="28"/>
          <w:szCs w:val="28"/>
        </w:rPr>
        <w:t>自动喷水灭火系统</w:t>
      </w:r>
    </w:p>
    <w:p>
      <w:pPr>
        <w:pStyle w:val="2"/>
        <w:spacing w:line="292" w:lineRule="auto"/>
      </w:pPr>
    </w:p>
    <w:p>
      <w:pPr>
        <w:pStyle w:val="2"/>
        <w:spacing w:line="292" w:lineRule="auto"/>
      </w:pPr>
    </w:p>
    <w:p>
      <w:pPr>
        <w:spacing w:before="68" w:line="220" w:lineRule="auto"/>
        <w:ind w:left="2267"/>
        <w:outlineLvl w:val="1"/>
        <w:rPr>
          <w:rFonts w:ascii="宋体" w:hAnsi="宋体" w:eastAsia="宋体" w:cs="宋体"/>
          <w:sz w:val="21"/>
          <w:szCs w:val="21"/>
        </w:rPr>
      </w:pPr>
      <w:bookmarkStart w:id="34" w:name="bookmark23"/>
      <w:bookmarkEnd w:id="34"/>
      <w:r>
        <w:rPr>
          <w:rFonts w:ascii="宋体" w:hAnsi="宋体" w:eastAsia="宋体" w:cs="宋体"/>
          <w:b/>
          <w:bCs/>
          <w:spacing w:val="-6"/>
          <w:sz w:val="21"/>
          <w:szCs w:val="21"/>
        </w:rPr>
        <w:t>6.1一般规定</w:t>
      </w:r>
    </w:p>
    <w:p>
      <w:pPr>
        <w:pStyle w:val="2"/>
        <w:spacing w:line="300" w:lineRule="auto"/>
      </w:pPr>
    </w:p>
    <w:p>
      <w:pPr>
        <w:spacing w:before="68" w:line="261" w:lineRule="auto"/>
        <w:ind w:left="4" w:right="3"/>
        <w:rPr>
          <w:rFonts w:ascii="宋体" w:hAnsi="宋体" w:eastAsia="宋体" w:cs="宋体"/>
          <w:sz w:val="21"/>
          <w:szCs w:val="21"/>
        </w:rPr>
      </w:pPr>
      <w:r>
        <w:rPr>
          <w:rFonts w:ascii="宋体" w:hAnsi="宋体" w:eastAsia="宋体" w:cs="宋体"/>
          <w:spacing w:val="-3"/>
          <w:sz w:val="21"/>
          <w:szCs w:val="21"/>
        </w:rPr>
        <w:t>6.1.1自动喷水灭火系统的系统选</w:t>
      </w:r>
      <w:r>
        <w:rPr>
          <w:rFonts w:ascii="宋体" w:hAnsi="宋体" w:eastAsia="宋体" w:cs="宋体"/>
          <w:spacing w:val="-4"/>
          <w:sz w:val="21"/>
          <w:szCs w:val="21"/>
        </w:rPr>
        <w:t>型、喷水强度、作用面积、持</w:t>
      </w:r>
      <w:r>
        <w:rPr>
          <w:rFonts w:ascii="宋体" w:hAnsi="宋体" w:eastAsia="宋体" w:cs="宋体"/>
          <w:spacing w:val="-7"/>
          <w:sz w:val="21"/>
          <w:szCs w:val="21"/>
        </w:rPr>
        <w:t>续喷水时间等参数，应与防护对象的火灾特性</w:t>
      </w:r>
      <w:r>
        <w:rPr>
          <w:rFonts w:ascii="宋体" w:hAnsi="宋体" w:eastAsia="宋体" w:cs="宋体"/>
          <w:spacing w:val="-8"/>
          <w:sz w:val="21"/>
          <w:szCs w:val="21"/>
        </w:rPr>
        <w:t>、火灾危险等级、室</w:t>
      </w:r>
      <w:r>
        <w:rPr>
          <w:rFonts w:ascii="宋体" w:hAnsi="宋体" w:eastAsia="宋体" w:cs="宋体"/>
          <w:sz w:val="21"/>
          <w:szCs w:val="21"/>
        </w:rPr>
        <w:t>内净空高度及储物高度等相适应。</w:t>
      </w:r>
    </w:p>
    <w:p>
      <w:pPr>
        <w:spacing w:before="60" w:line="254" w:lineRule="auto"/>
        <w:ind w:left="4" w:right="4" w:firstLine="3"/>
        <w:rPr>
          <w:rFonts w:ascii="宋体" w:hAnsi="宋体" w:eastAsia="宋体" w:cs="宋体"/>
          <w:sz w:val="21"/>
          <w:szCs w:val="21"/>
        </w:rPr>
      </w:pPr>
      <w:r>
        <w:rPr>
          <w:rFonts w:ascii="宋体" w:hAnsi="宋体" w:eastAsia="宋体" w:cs="宋体"/>
          <w:b/>
          <w:bCs/>
          <w:spacing w:val="3"/>
          <w:sz w:val="21"/>
          <w:szCs w:val="21"/>
        </w:rPr>
        <w:t>6.1.2</w:t>
      </w:r>
      <w:r>
        <w:rPr>
          <w:rFonts w:ascii="宋体" w:hAnsi="宋体" w:eastAsia="宋体" w:cs="宋体"/>
          <w:spacing w:val="3"/>
          <w:sz w:val="21"/>
          <w:szCs w:val="21"/>
        </w:rPr>
        <w:t>自动喷水灭火系统的消防给水系统分区和减压阀设置应</w:t>
      </w:r>
      <w:r>
        <w:rPr>
          <w:rFonts w:ascii="宋体" w:hAnsi="宋体" w:eastAsia="宋体" w:cs="宋体"/>
          <w:spacing w:val="4"/>
          <w:sz w:val="21"/>
          <w:szCs w:val="21"/>
        </w:rPr>
        <w:t>按本标准第4.4.3～4.4.8条执行。</w:t>
      </w:r>
    </w:p>
    <w:p>
      <w:pPr>
        <w:spacing w:before="52" w:line="278" w:lineRule="auto"/>
        <w:ind w:left="4" w:firstLine="3"/>
        <w:rPr>
          <w:rFonts w:ascii="宋体" w:hAnsi="宋体" w:eastAsia="宋体" w:cs="宋体"/>
          <w:sz w:val="17"/>
          <w:szCs w:val="17"/>
        </w:rPr>
      </w:pPr>
      <w:r>
        <w:rPr>
          <w:rFonts w:ascii="宋体" w:hAnsi="宋体" w:eastAsia="宋体" w:cs="宋体"/>
          <w:b/>
          <w:bCs/>
          <w:spacing w:val="12"/>
          <w:sz w:val="21"/>
          <w:szCs w:val="21"/>
        </w:rPr>
        <w:t>6.1.3</w:t>
      </w:r>
      <w:r>
        <w:rPr>
          <w:rFonts w:ascii="宋体" w:hAnsi="宋体" w:eastAsia="宋体" w:cs="宋体"/>
          <w:spacing w:val="12"/>
          <w:sz w:val="21"/>
          <w:szCs w:val="21"/>
        </w:rPr>
        <w:t>设置自动喷水灭火系统的场所危险等级应按表6.1.3</w:t>
      </w:r>
      <w:r>
        <w:rPr>
          <w:rFonts w:ascii="宋体" w:hAnsi="宋体" w:eastAsia="宋体" w:cs="宋体"/>
          <w:spacing w:val="-6"/>
          <w:sz w:val="17"/>
          <w:szCs w:val="17"/>
        </w:rPr>
        <w:t>确定。</w:t>
      </w:r>
    </w:p>
    <w:p>
      <w:pPr>
        <w:spacing w:before="134" w:line="221" w:lineRule="auto"/>
        <w:ind w:left="1427"/>
        <w:rPr>
          <w:rFonts w:ascii="黑体" w:hAnsi="黑体" w:eastAsia="黑体" w:cs="黑体"/>
          <w:sz w:val="21"/>
          <w:szCs w:val="21"/>
        </w:rPr>
      </w:pPr>
      <w:r>
        <w:rPr>
          <w:rFonts w:ascii="黑体" w:hAnsi="黑体" w:eastAsia="黑体" w:cs="黑体"/>
          <w:b/>
          <w:bCs/>
          <w:spacing w:val="-18"/>
          <w:w w:val="97"/>
          <w:sz w:val="21"/>
          <w:szCs w:val="21"/>
        </w:rPr>
        <w:t>表6.1.3设置场所火灾危险等级分类</w:t>
      </w:r>
    </w:p>
    <w:p>
      <w:pPr>
        <w:spacing w:line="69" w:lineRule="exact"/>
      </w:pPr>
    </w:p>
    <w:tbl>
      <w:tblPr>
        <w:tblStyle w:val="5"/>
        <w:tblW w:w="58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3"/>
        <w:gridCol w:w="479"/>
        <w:gridCol w:w="45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93" w:type="dxa"/>
            <w:vAlign w:val="top"/>
          </w:tcPr>
          <w:p>
            <w:pPr>
              <w:pStyle w:val="6"/>
              <w:spacing w:before="81" w:line="219" w:lineRule="auto"/>
              <w:ind w:left="64"/>
              <w:rPr>
                <w:sz w:val="16"/>
                <w:szCs w:val="16"/>
              </w:rPr>
            </w:pPr>
            <w:r>
              <w:rPr>
                <w:spacing w:val="-2"/>
                <w:sz w:val="16"/>
                <w:szCs w:val="16"/>
              </w:rPr>
              <w:t>危险等级</w:t>
            </w:r>
          </w:p>
        </w:tc>
        <w:tc>
          <w:tcPr>
            <w:tcW w:w="5066" w:type="dxa"/>
            <w:gridSpan w:val="2"/>
            <w:vAlign w:val="top"/>
          </w:tcPr>
          <w:p>
            <w:pPr>
              <w:pStyle w:val="6"/>
              <w:spacing w:before="82" w:line="220" w:lineRule="auto"/>
              <w:ind w:left="2201"/>
              <w:rPr>
                <w:sz w:val="16"/>
                <w:szCs w:val="16"/>
              </w:rPr>
            </w:pPr>
            <w:r>
              <w:rPr>
                <w:spacing w:val="-2"/>
                <w:sz w:val="16"/>
                <w:szCs w:val="16"/>
              </w:rPr>
              <w:t>设置场所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93" w:type="dxa"/>
            <w:vAlign w:val="top"/>
          </w:tcPr>
          <w:p>
            <w:pPr>
              <w:pStyle w:val="6"/>
              <w:spacing w:before="197" w:line="219" w:lineRule="auto"/>
              <w:ind w:left="64"/>
              <w:rPr>
                <w:sz w:val="16"/>
                <w:szCs w:val="16"/>
              </w:rPr>
            </w:pPr>
            <w:r>
              <w:rPr>
                <w:spacing w:val="-2"/>
                <w:sz w:val="16"/>
                <w:szCs w:val="16"/>
              </w:rPr>
              <w:t>轻危险级</w:t>
            </w:r>
          </w:p>
        </w:tc>
        <w:tc>
          <w:tcPr>
            <w:tcW w:w="5066" w:type="dxa"/>
            <w:gridSpan w:val="2"/>
            <w:vAlign w:val="top"/>
          </w:tcPr>
          <w:p>
            <w:pPr>
              <w:pStyle w:val="6"/>
              <w:spacing w:before="98" w:line="243" w:lineRule="auto"/>
              <w:ind w:left="11"/>
              <w:rPr>
                <w:sz w:val="16"/>
                <w:szCs w:val="16"/>
              </w:rPr>
            </w:pPr>
            <w:r>
              <w:rPr>
                <w:spacing w:val="-5"/>
                <w:sz w:val="16"/>
                <w:szCs w:val="16"/>
              </w:rPr>
              <w:t>住宅建筑、幼儿园、建筑高度为24m及以下的旅馆、宿舍楼、租赁式住宅、公寓式办公、教学楼、科研楼、办公楼；仅在走道设置闭式系统的建筑等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7" w:hRule="atLeast"/>
        </w:trPr>
        <w:tc>
          <w:tcPr>
            <w:tcW w:w="793" w:type="dxa"/>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6"/>
              <w:spacing w:before="52" w:line="220" w:lineRule="auto"/>
              <w:ind w:left="64"/>
              <w:rPr>
                <w:sz w:val="16"/>
                <w:szCs w:val="16"/>
              </w:rPr>
            </w:pPr>
            <w:r>
              <w:rPr>
                <w:spacing w:val="2"/>
                <w:sz w:val="16"/>
                <w:szCs w:val="16"/>
              </w:rPr>
              <w:t>中危险级</w:t>
            </w:r>
          </w:p>
        </w:tc>
        <w:tc>
          <w:tcPr>
            <w:tcW w:w="479" w:type="dxa"/>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52" w:line="221" w:lineRule="auto"/>
              <w:ind w:left="101"/>
              <w:rPr>
                <w:sz w:val="16"/>
                <w:szCs w:val="16"/>
              </w:rPr>
            </w:pPr>
            <w:r>
              <w:rPr>
                <w:spacing w:val="4"/>
                <w:sz w:val="16"/>
                <w:szCs w:val="16"/>
              </w:rPr>
              <w:t>I级</w:t>
            </w:r>
          </w:p>
        </w:tc>
        <w:tc>
          <w:tcPr>
            <w:tcW w:w="4587" w:type="dxa"/>
            <w:vAlign w:val="top"/>
          </w:tcPr>
          <w:p>
            <w:pPr>
              <w:pStyle w:val="6"/>
              <w:spacing w:before="208" w:line="235" w:lineRule="auto"/>
              <w:ind w:left="301" w:hanging="199"/>
              <w:rPr>
                <w:sz w:val="16"/>
                <w:szCs w:val="16"/>
              </w:rPr>
            </w:pPr>
            <w:r>
              <w:rPr>
                <w:spacing w:val="-12"/>
                <w:sz w:val="16"/>
                <w:szCs w:val="16"/>
              </w:rPr>
              <w:t>1</w:t>
            </w:r>
            <w:r>
              <w:rPr>
                <w:spacing w:val="-11"/>
                <w:sz w:val="16"/>
                <w:szCs w:val="16"/>
              </w:rPr>
              <w:t>.高层民用建筑：旅馆、宿舍楼、租赁式住宅、教学楼、科研楼、</w:t>
            </w:r>
            <w:r>
              <w:rPr>
                <w:spacing w:val="-10"/>
                <w:sz w:val="16"/>
                <w:szCs w:val="16"/>
              </w:rPr>
              <w:t>办</w:t>
            </w:r>
            <w:r>
              <w:rPr>
                <w:spacing w:val="-8"/>
                <w:sz w:val="16"/>
                <w:szCs w:val="16"/>
              </w:rPr>
              <w:t>公楼、综合楼、邮政楼、金融电信楼、指挥调度楼、广播电视楼</w:t>
            </w:r>
            <w:r>
              <w:rPr>
                <w:spacing w:val="3"/>
                <w:sz w:val="16"/>
                <w:szCs w:val="16"/>
              </w:rPr>
              <w:t>(塔)等。</w:t>
            </w:r>
          </w:p>
          <w:p>
            <w:pPr>
              <w:pStyle w:val="6"/>
              <w:spacing w:before="38" w:line="246" w:lineRule="auto"/>
              <w:ind w:left="311" w:hanging="219"/>
              <w:rPr>
                <w:sz w:val="16"/>
                <w:szCs w:val="16"/>
              </w:rPr>
            </w:pPr>
            <w:r>
              <w:rPr>
                <w:spacing w:val="-3"/>
                <w:sz w:val="16"/>
                <w:szCs w:val="16"/>
              </w:rPr>
              <w:t>2.公共建筑(含单多高层):医院、疗养院；图书馆(书库除外)、档</w:t>
            </w:r>
            <w:r>
              <w:rPr>
                <w:spacing w:val="-1"/>
                <w:sz w:val="16"/>
                <w:szCs w:val="16"/>
              </w:rPr>
              <w:t>案馆、展览馆(厅);影剧院、体育馆、音乐厅和礼堂(舞台除</w:t>
            </w:r>
            <w:r>
              <w:rPr>
                <w:spacing w:val="-5"/>
                <w:sz w:val="16"/>
                <w:szCs w:val="16"/>
              </w:rPr>
              <w:t>外)及其他娱乐场所；车站、机场及码头建筑物；总建筑面积小</w:t>
            </w:r>
            <w:r>
              <w:rPr>
                <w:spacing w:val="6"/>
                <w:sz w:val="16"/>
                <w:szCs w:val="16"/>
              </w:rPr>
              <w:t>于5000m²的商场、总建筑面积小于10</w:t>
            </w:r>
            <w:r>
              <w:rPr>
                <w:spacing w:val="5"/>
                <w:sz w:val="16"/>
                <w:szCs w:val="16"/>
              </w:rPr>
              <w:t>00m²的地下商</w:t>
            </w:r>
          </w:p>
          <w:p>
            <w:pPr>
              <w:pStyle w:val="6"/>
              <w:spacing w:before="19" w:line="219" w:lineRule="auto"/>
              <w:ind w:left="312"/>
              <w:rPr>
                <w:sz w:val="16"/>
                <w:szCs w:val="16"/>
              </w:rPr>
            </w:pPr>
            <w:r>
              <w:rPr>
                <w:sz w:val="16"/>
                <w:szCs w:val="16"/>
              </w:rPr>
              <w:t>场等。</w:t>
            </w:r>
          </w:p>
          <w:p>
            <w:pPr>
              <w:pStyle w:val="6"/>
              <w:spacing w:before="29" w:line="231" w:lineRule="auto"/>
              <w:ind w:left="321" w:right="393" w:hanging="219"/>
              <w:rPr>
                <w:sz w:val="16"/>
                <w:szCs w:val="16"/>
              </w:rPr>
            </w:pPr>
            <w:r>
              <w:rPr>
                <w:spacing w:val="3"/>
                <w:sz w:val="16"/>
                <w:szCs w:val="16"/>
              </w:rPr>
              <w:t>3.建筑高度大于或等于32m且小于54m的</w:t>
            </w:r>
            <w:r>
              <w:rPr>
                <w:spacing w:val="2"/>
                <w:sz w:val="16"/>
                <w:szCs w:val="16"/>
              </w:rPr>
              <w:t>老年人照料设施；</w:t>
            </w:r>
            <w:r>
              <w:rPr>
                <w:sz w:val="16"/>
                <w:szCs w:val="16"/>
              </w:rPr>
              <w:t>托育场所。</w:t>
            </w:r>
          </w:p>
          <w:p>
            <w:pPr>
              <w:pStyle w:val="6"/>
              <w:spacing w:before="20" w:line="219" w:lineRule="auto"/>
              <w:jc w:val="right"/>
              <w:rPr>
                <w:sz w:val="16"/>
                <w:szCs w:val="16"/>
              </w:rPr>
            </w:pPr>
            <w:r>
              <w:rPr>
                <w:sz w:val="16"/>
                <w:szCs w:val="16"/>
              </w:rPr>
              <w:t>4.文化遗产建筑：木结构古建筑、文物建筑、优</w:t>
            </w:r>
            <w:r>
              <w:rPr>
                <w:spacing w:val="-1"/>
                <w:sz w:val="16"/>
                <w:szCs w:val="16"/>
              </w:rPr>
              <w:t>秀历史建筑等。</w:t>
            </w:r>
          </w:p>
          <w:p>
            <w:pPr>
              <w:pStyle w:val="6"/>
              <w:spacing w:before="20" w:line="219" w:lineRule="auto"/>
              <w:ind w:left="102"/>
              <w:rPr>
                <w:sz w:val="16"/>
                <w:szCs w:val="16"/>
              </w:rPr>
            </w:pPr>
            <w:r>
              <w:rPr>
                <w:sz w:val="16"/>
                <w:szCs w:val="16"/>
              </w:rPr>
              <w:t>5.冷藏库、未设防火涂料的钢屋架等建筑构件。</w:t>
            </w:r>
          </w:p>
          <w:p>
            <w:pPr>
              <w:pStyle w:val="6"/>
              <w:spacing w:before="30" w:line="220" w:lineRule="auto"/>
              <w:ind w:left="102"/>
              <w:rPr>
                <w:sz w:val="16"/>
                <w:szCs w:val="16"/>
              </w:rPr>
            </w:pPr>
            <w:r>
              <w:rPr>
                <w:sz w:val="16"/>
                <w:szCs w:val="16"/>
              </w:rPr>
              <w:t>6.单独建造的饮食建筑。</w:t>
            </w:r>
          </w:p>
          <w:p>
            <w:pPr>
              <w:pStyle w:val="6"/>
              <w:spacing w:before="19" w:line="219" w:lineRule="auto"/>
              <w:ind w:left="102"/>
              <w:rPr>
                <w:sz w:val="16"/>
                <w:szCs w:val="16"/>
              </w:rPr>
            </w:pPr>
            <w:r>
              <w:rPr>
                <w:spacing w:val="1"/>
                <w:sz w:val="16"/>
                <w:szCs w:val="16"/>
              </w:rPr>
              <w:t>7.办公建筑内的中庭、无可燃物大堂(门厅)</w:t>
            </w:r>
          </w:p>
        </w:tc>
      </w:tr>
    </w:tbl>
    <w:p>
      <w:pPr>
        <w:pStyle w:val="2"/>
        <w:spacing w:line="95" w:lineRule="exact"/>
        <w:rPr>
          <w:sz w:val="8"/>
        </w:rPr>
      </w:pPr>
    </w:p>
    <w:p>
      <w:pPr>
        <w:spacing w:line="95" w:lineRule="exact"/>
        <w:rPr>
          <w:sz w:val="8"/>
          <w:szCs w:val="8"/>
        </w:rPr>
        <w:sectPr>
          <w:footerReference r:id="rId43" w:type="default"/>
          <w:pgSz w:w="8280" w:h="11850"/>
          <w:pgMar w:top="400" w:right="1186" w:bottom="1260" w:left="1205" w:header="0" w:footer="987" w:gutter="0"/>
          <w:cols w:space="720" w:num="1"/>
        </w:sectPr>
      </w:pPr>
    </w:p>
    <w:p>
      <w:pPr>
        <w:pStyle w:val="2"/>
        <w:spacing w:line="295" w:lineRule="auto"/>
      </w:pPr>
    </w:p>
    <w:p>
      <w:pPr>
        <w:pStyle w:val="2"/>
        <w:spacing w:line="296" w:lineRule="auto"/>
      </w:pPr>
    </w:p>
    <w:p>
      <w:pPr>
        <w:pStyle w:val="2"/>
        <w:spacing w:line="296" w:lineRule="auto"/>
      </w:pPr>
    </w:p>
    <w:p>
      <w:pPr>
        <w:spacing w:before="52" w:line="220" w:lineRule="auto"/>
        <w:ind w:left="2"/>
        <w:rPr>
          <w:rFonts w:ascii="宋体" w:hAnsi="宋体" w:eastAsia="宋体" w:cs="宋体"/>
          <w:sz w:val="16"/>
          <w:szCs w:val="16"/>
        </w:rPr>
      </w:pPr>
      <w:r>
        <w:rPr>
          <w:rFonts w:ascii="宋体" w:hAnsi="宋体" w:eastAsia="宋体" w:cs="宋体"/>
          <w:b/>
          <w:bCs/>
          <w:spacing w:val="-3"/>
          <w:sz w:val="16"/>
          <w:szCs w:val="16"/>
        </w:rPr>
        <w:t>续表6.1.3</w:t>
      </w:r>
    </w:p>
    <w:p>
      <w:pPr>
        <w:spacing w:line="89" w:lineRule="exact"/>
      </w:pPr>
    </w:p>
    <w:tbl>
      <w:tblPr>
        <w:tblStyle w:val="5"/>
        <w:tblW w:w="583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4"/>
        <w:gridCol w:w="469"/>
        <w:gridCol w:w="4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94" w:type="dxa"/>
            <w:vAlign w:val="top"/>
          </w:tcPr>
          <w:p>
            <w:pPr>
              <w:pStyle w:val="6"/>
              <w:spacing w:before="72" w:line="219" w:lineRule="auto"/>
              <w:ind w:left="45"/>
            </w:pPr>
            <w:r>
              <w:rPr>
                <w:spacing w:val="-2"/>
              </w:rPr>
              <w:t>危险等级</w:t>
            </w:r>
          </w:p>
        </w:tc>
        <w:tc>
          <w:tcPr>
            <w:tcW w:w="5036" w:type="dxa"/>
            <w:gridSpan w:val="2"/>
            <w:vAlign w:val="top"/>
          </w:tcPr>
          <w:p>
            <w:pPr>
              <w:pStyle w:val="6"/>
              <w:spacing w:before="72" w:line="220" w:lineRule="auto"/>
              <w:ind w:left="2180"/>
            </w:pPr>
            <w:r>
              <w:rPr>
                <w:spacing w:val="-2"/>
              </w:rPr>
              <w:t>设置场所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4" w:hRule="atLeast"/>
        </w:trPr>
        <w:tc>
          <w:tcPr>
            <w:tcW w:w="794" w:type="dxa"/>
            <w:vAlign w:val="top"/>
          </w:tcPr>
          <w:p>
            <w:pPr>
              <w:spacing w:line="242"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56" w:line="220" w:lineRule="auto"/>
              <w:ind w:left="45"/>
            </w:pPr>
            <w:r>
              <w:rPr>
                <w:spacing w:val="2"/>
              </w:rPr>
              <w:t>中危险级</w:t>
            </w:r>
          </w:p>
        </w:tc>
        <w:tc>
          <w:tcPr>
            <w:tcW w:w="469" w:type="dxa"/>
            <w:vAlign w:val="top"/>
          </w:tcPr>
          <w:p>
            <w:pPr>
              <w:spacing w:line="243" w:lineRule="auto"/>
              <w:rPr>
                <w:rFonts w:ascii="Arial"/>
                <w:sz w:val="21"/>
              </w:rPr>
            </w:pPr>
          </w:p>
          <w:p>
            <w:pPr>
              <w:spacing w:line="243" w:lineRule="auto"/>
              <w:rPr>
                <w:rFonts w:ascii="Arial"/>
                <w:sz w:val="21"/>
              </w:rPr>
            </w:pPr>
          </w:p>
          <w:p>
            <w:pPr>
              <w:spacing w:line="244" w:lineRule="auto"/>
              <w:rPr>
                <w:rFonts w:ascii="Arial"/>
                <w:sz w:val="21"/>
              </w:rPr>
            </w:pPr>
          </w:p>
          <w:p>
            <w:pPr>
              <w:pStyle w:val="6"/>
              <w:spacing w:before="55" w:line="221" w:lineRule="auto"/>
              <w:ind w:left="51"/>
            </w:pPr>
            <w:r>
              <w:rPr>
                <w:spacing w:val="-18"/>
              </w:rPr>
              <w:t>Ⅱ级</w:t>
            </w:r>
          </w:p>
        </w:tc>
        <w:tc>
          <w:tcPr>
            <w:tcW w:w="4567" w:type="dxa"/>
            <w:vAlign w:val="top"/>
          </w:tcPr>
          <w:p>
            <w:pPr>
              <w:pStyle w:val="6"/>
              <w:spacing w:before="118" w:line="241" w:lineRule="auto"/>
              <w:ind w:left="62" w:firstLine="29"/>
            </w:pPr>
            <w:r>
              <w:rPr>
                <w:spacing w:val="-15"/>
              </w:rPr>
              <w:t>书库、舞台(葡萄架除外)、汽车停车场(库)、电动自行车停车库、</w:t>
            </w:r>
            <w:r>
              <w:rPr>
                <w:spacing w:val="3"/>
              </w:rPr>
              <w:t>总建筑面积5000m²及以上的商场、总建筑面积1000m²及以</w:t>
            </w:r>
            <w:r>
              <w:rPr>
                <w:spacing w:val="-2"/>
              </w:rPr>
              <w:t>上的地下商场、净空高度不超过8m且物品高度不超过3.50m</w:t>
            </w:r>
            <w:r>
              <w:rPr>
                <w:spacing w:val="-12"/>
              </w:rPr>
              <w:t>的超级市场、有顶步行街、商业类中庭及大堂(门厅)、剧本娱乐</w:t>
            </w:r>
            <w:r>
              <w:rPr>
                <w:spacing w:val="-14"/>
              </w:rPr>
              <w:t>场所、歌舞娱乐游艺放映场所、室内游乐场、建筑高度达到250m</w:t>
            </w:r>
            <w:r>
              <w:rPr>
                <w:spacing w:val="-2"/>
              </w:rPr>
              <w:t>及以上的超高层建筑、民用建筑内单间使用面积不大于100</w:t>
            </w:r>
            <w:r>
              <w:rPr>
                <w:spacing w:val="10"/>
              </w:rPr>
              <w:t>m²的可燃物附属库房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794" w:type="dxa"/>
            <w:vMerge w:val="restart"/>
            <w:tcBorders>
              <w:bottom w:val="nil"/>
            </w:tcBorders>
            <w:vAlign w:val="top"/>
          </w:tcPr>
          <w:p>
            <w:pPr>
              <w:pStyle w:val="6"/>
              <w:spacing w:before="145" w:line="230" w:lineRule="auto"/>
              <w:ind w:left="214" w:right="146" w:hanging="79"/>
            </w:pPr>
            <w:r>
              <w:rPr>
                <w:spacing w:val="-3"/>
              </w:rPr>
              <w:t>严重危</w:t>
            </w:r>
            <w:r>
              <w:rPr>
                <w:spacing w:val="5"/>
              </w:rPr>
              <w:t>险级</w:t>
            </w:r>
          </w:p>
        </w:tc>
        <w:tc>
          <w:tcPr>
            <w:tcW w:w="469" w:type="dxa"/>
            <w:vAlign w:val="top"/>
          </w:tcPr>
          <w:p>
            <w:pPr>
              <w:pStyle w:val="6"/>
              <w:spacing w:before="76" w:line="221" w:lineRule="auto"/>
              <w:ind w:left="91"/>
            </w:pPr>
            <w:r>
              <w:rPr>
                <w:spacing w:val="7"/>
              </w:rPr>
              <w:t>I级</w:t>
            </w:r>
          </w:p>
        </w:tc>
        <w:tc>
          <w:tcPr>
            <w:tcW w:w="4567" w:type="dxa"/>
            <w:vAlign w:val="top"/>
          </w:tcPr>
          <w:p>
            <w:pPr>
              <w:pStyle w:val="6"/>
              <w:spacing w:before="74" w:line="219" w:lineRule="auto"/>
              <w:ind w:left="102"/>
            </w:pPr>
            <w:r>
              <w:t>净空高度小于或等于8m且物品高度大于3.50m的超级市场等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794" w:type="dxa"/>
            <w:vMerge w:val="continue"/>
            <w:tcBorders>
              <w:top w:val="nil"/>
            </w:tcBorders>
            <w:vAlign w:val="top"/>
          </w:tcPr>
          <w:p>
            <w:pPr>
              <w:rPr>
                <w:rFonts w:ascii="Arial"/>
                <w:sz w:val="21"/>
              </w:rPr>
            </w:pPr>
          </w:p>
        </w:tc>
        <w:tc>
          <w:tcPr>
            <w:tcW w:w="469" w:type="dxa"/>
            <w:vAlign w:val="top"/>
          </w:tcPr>
          <w:p>
            <w:pPr>
              <w:pStyle w:val="6"/>
              <w:spacing w:before="77" w:line="221" w:lineRule="auto"/>
              <w:ind w:left="51"/>
            </w:pPr>
            <w:r>
              <w:rPr>
                <w:spacing w:val="-18"/>
              </w:rPr>
              <w:t>Ⅱ级</w:t>
            </w:r>
          </w:p>
        </w:tc>
        <w:tc>
          <w:tcPr>
            <w:tcW w:w="4567" w:type="dxa"/>
            <w:vAlign w:val="top"/>
          </w:tcPr>
          <w:p>
            <w:pPr>
              <w:pStyle w:val="6"/>
              <w:spacing w:before="75" w:line="219" w:lineRule="auto"/>
              <w:ind w:left="102"/>
            </w:pPr>
            <w:r>
              <w:rPr>
                <w:spacing w:val="-1"/>
              </w:rPr>
              <w:t>摄影棚、舞台葡萄架下部等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794" w:type="dxa"/>
            <w:vAlign w:val="top"/>
          </w:tcPr>
          <w:p>
            <w:pPr>
              <w:pStyle w:val="6"/>
              <w:spacing w:before="116" w:line="231" w:lineRule="auto"/>
              <w:ind w:left="135" w:right="147" w:firstLine="79"/>
            </w:pPr>
            <w:r>
              <w:rPr>
                <w:spacing w:val="-3"/>
              </w:rPr>
              <w:t>仓库危险级</w:t>
            </w:r>
          </w:p>
        </w:tc>
        <w:tc>
          <w:tcPr>
            <w:tcW w:w="469" w:type="dxa"/>
            <w:vAlign w:val="top"/>
          </w:tcPr>
          <w:p>
            <w:pPr>
              <w:rPr>
                <w:rFonts w:ascii="Arial"/>
                <w:sz w:val="21"/>
              </w:rPr>
            </w:pPr>
          </w:p>
        </w:tc>
        <w:tc>
          <w:tcPr>
            <w:tcW w:w="4567" w:type="dxa"/>
            <w:vAlign w:val="top"/>
          </w:tcPr>
          <w:p>
            <w:pPr>
              <w:pStyle w:val="6"/>
              <w:spacing w:before="105" w:line="254" w:lineRule="auto"/>
              <w:ind w:left="101" w:hanging="89"/>
            </w:pPr>
            <w:r>
              <w:rPr>
                <w:spacing w:val="1"/>
              </w:rPr>
              <w:t>民用建筑内单间使用面积大于100m²的可燃物附属库房、最大</w:t>
            </w:r>
            <w:r>
              <w:rPr>
                <w:spacing w:val="-1"/>
              </w:rPr>
              <w:t>净空高度大于8m的超级市场</w:t>
            </w:r>
          </w:p>
        </w:tc>
      </w:tr>
    </w:tbl>
    <w:p>
      <w:pPr>
        <w:spacing w:before="60" w:line="280" w:lineRule="auto"/>
        <w:ind w:left="398" w:right="1" w:hanging="219"/>
        <w:rPr>
          <w:rFonts w:ascii="宋体" w:hAnsi="宋体" w:eastAsia="宋体" w:cs="宋体"/>
          <w:sz w:val="14"/>
          <w:szCs w:val="14"/>
        </w:rPr>
      </w:pPr>
      <w:r>
        <w:rPr>
          <w:rFonts w:ascii="宋体" w:hAnsi="宋体" w:eastAsia="宋体" w:cs="宋体"/>
          <w:spacing w:val="-1"/>
          <w:sz w:val="16"/>
          <w:szCs w:val="16"/>
        </w:rPr>
        <w:t>注：使用面积大于100</w:t>
      </w:r>
      <w:r>
        <w:rPr>
          <w:rFonts w:ascii="Times New Roman" w:hAnsi="Times New Roman" w:eastAsia="Times New Roman" w:cs="Times New Roman"/>
          <w:spacing w:val="-1"/>
          <w:sz w:val="16"/>
          <w:szCs w:val="16"/>
        </w:rPr>
        <w:t>m²</w:t>
      </w:r>
      <w:r>
        <w:rPr>
          <w:rFonts w:ascii="宋体" w:hAnsi="宋体" w:eastAsia="宋体" w:cs="宋体"/>
          <w:spacing w:val="-1"/>
          <w:sz w:val="16"/>
          <w:szCs w:val="16"/>
        </w:rPr>
        <w:t>的可燃物附属库房和净空高度8</w:t>
      </w:r>
      <w:r>
        <w:rPr>
          <w:rFonts w:ascii="Times New Roman" w:hAnsi="Times New Roman" w:eastAsia="Times New Roman" w:cs="Times New Roman"/>
          <w:spacing w:val="-1"/>
          <w:sz w:val="16"/>
          <w:szCs w:val="16"/>
        </w:rPr>
        <w:t>m</w:t>
      </w:r>
      <w:r>
        <w:rPr>
          <w:rFonts w:ascii="宋体" w:hAnsi="宋体" w:eastAsia="宋体" w:cs="宋体"/>
          <w:spacing w:val="-1"/>
          <w:sz w:val="16"/>
          <w:szCs w:val="16"/>
        </w:rPr>
        <w:t>以上的超级市场，其设计应按照现行国家标准《自动喷水灭火系统设计规范》GB50084中仓库的设计</w:t>
      </w:r>
      <w:r>
        <w:rPr>
          <w:rFonts w:ascii="宋体" w:hAnsi="宋体" w:eastAsia="宋体" w:cs="宋体"/>
          <w:spacing w:val="18"/>
          <w:sz w:val="14"/>
          <w:szCs w:val="14"/>
        </w:rPr>
        <w:t>参数确定。</w:t>
      </w:r>
    </w:p>
    <w:p>
      <w:pPr>
        <w:spacing w:before="121" w:line="295" w:lineRule="auto"/>
        <w:rPr>
          <w:rFonts w:ascii="宋体" w:hAnsi="宋体" w:eastAsia="宋体" w:cs="宋体"/>
          <w:sz w:val="21"/>
          <w:szCs w:val="21"/>
        </w:rPr>
      </w:pPr>
      <w:r>
        <w:rPr>
          <w:rFonts w:ascii="Times New Roman" w:hAnsi="Times New Roman" w:eastAsia="Times New Roman" w:cs="Times New Roman"/>
          <w:b/>
          <w:bCs/>
          <w:spacing w:val="5"/>
          <w:sz w:val="21"/>
          <w:szCs w:val="21"/>
        </w:rPr>
        <w:t>6.1.4</w:t>
      </w:r>
      <w:r>
        <w:rPr>
          <w:rFonts w:ascii="宋体" w:hAnsi="宋体" w:eastAsia="宋体" w:cs="宋体"/>
          <w:spacing w:val="5"/>
          <w:sz w:val="21"/>
          <w:szCs w:val="21"/>
        </w:rPr>
        <w:t>建筑物内(净空高度小于或等于8</w:t>
      </w:r>
      <w:r>
        <w:rPr>
          <w:rFonts w:ascii="Times New Roman" w:hAnsi="Times New Roman" w:eastAsia="Times New Roman" w:cs="Times New Roman"/>
          <w:spacing w:val="5"/>
          <w:sz w:val="21"/>
          <w:szCs w:val="21"/>
        </w:rPr>
        <w:t>m)</w:t>
      </w:r>
      <w:r>
        <w:rPr>
          <w:rFonts w:ascii="宋体" w:hAnsi="宋体" w:eastAsia="宋体" w:cs="宋体"/>
          <w:spacing w:val="5"/>
          <w:sz w:val="21"/>
          <w:szCs w:val="21"/>
        </w:rPr>
        <w:t>自动喷水灭火湿式</w:t>
      </w:r>
      <w:r>
        <w:rPr>
          <w:rFonts w:ascii="宋体" w:hAnsi="宋体" w:eastAsia="宋体" w:cs="宋体"/>
          <w:spacing w:val="2"/>
          <w:sz w:val="21"/>
          <w:szCs w:val="21"/>
        </w:rPr>
        <w:t>系统的设计用水量和设计基本参数不应小于表6.1.4的规定。</w:t>
      </w:r>
    </w:p>
    <w:p>
      <w:pPr>
        <w:spacing w:before="57" w:line="221" w:lineRule="auto"/>
        <w:ind w:left="542"/>
        <w:rPr>
          <w:rFonts w:ascii="黑体" w:hAnsi="黑体" w:eastAsia="黑体" w:cs="黑体"/>
          <w:sz w:val="21"/>
          <w:szCs w:val="21"/>
        </w:rPr>
      </w:pPr>
      <w:r>
        <w:rPr>
          <w:rFonts w:ascii="黑体" w:hAnsi="黑体" w:eastAsia="黑体" w:cs="黑体"/>
          <w:b/>
          <w:bCs/>
          <w:spacing w:val="-19"/>
          <w:w w:val="96"/>
          <w:sz w:val="21"/>
          <w:szCs w:val="21"/>
        </w:rPr>
        <w:t>表6.1.4自动喷水灭火湿式系统的设计水量及设计基本参数</w:t>
      </w:r>
    </w:p>
    <w:p>
      <w:pPr>
        <w:spacing w:line="80" w:lineRule="exact"/>
      </w:pPr>
    </w:p>
    <w:tbl>
      <w:tblPr>
        <w:tblStyle w:val="5"/>
        <w:tblW w:w="582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1108"/>
        <w:gridCol w:w="1108"/>
        <w:gridCol w:w="1118"/>
        <w:gridCol w:w="12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2381" w:type="dxa"/>
            <w:gridSpan w:val="2"/>
            <w:tcBorders>
              <w:tl2br w:val="single" w:color="000000" w:sz="4" w:space="0"/>
            </w:tcBorders>
            <w:vAlign w:val="top"/>
          </w:tcPr>
          <w:p>
            <w:pPr>
              <w:pStyle w:val="6"/>
              <w:spacing w:before="122" w:line="220" w:lineRule="auto"/>
              <w:ind w:left="1654"/>
              <w:rPr>
                <w:sz w:val="16"/>
                <w:szCs w:val="16"/>
              </w:rPr>
            </w:pPr>
            <w:r>
              <w:rPr>
                <w:spacing w:val="-5"/>
                <w:sz w:val="16"/>
                <w:szCs w:val="16"/>
              </w:rPr>
              <w:t>项目</w:t>
            </w:r>
          </w:p>
          <w:p>
            <w:pPr>
              <w:pStyle w:val="6"/>
              <w:spacing w:before="169" w:line="220" w:lineRule="auto"/>
              <w:ind w:left="384"/>
              <w:rPr>
                <w:sz w:val="16"/>
                <w:szCs w:val="16"/>
              </w:rPr>
            </w:pPr>
            <w:r>
              <w:rPr>
                <w:spacing w:val="-2"/>
                <w:sz w:val="16"/>
                <w:szCs w:val="16"/>
              </w:rPr>
              <w:t>设置场所</w:t>
            </w:r>
          </w:p>
          <w:p>
            <w:pPr>
              <w:pStyle w:val="6"/>
              <w:spacing w:before="38" w:line="219" w:lineRule="auto"/>
              <w:ind w:left="395"/>
              <w:rPr>
                <w:sz w:val="16"/>
                <w:szCs w:val="16"/>
              </w:rPr>
            </w:pPr>
            <w:r>
              <w:rPr>
                <w:spacing w:val="1"/>
                <w:sz w:val="16"/>
                <w:szCs w:val="16"/>
              </w:rPr>
              <w:t>的危险等级</w:t>
            </w:r>
          </w:p>
        </w:tc>
        <w:tc>
          <w:tcPr>
            <w:tcW w:w="1108" w:type="dxa"/>
            <w:vAlign w:val="top"/>
          </w:tcPr>
          <w:p>
            <w:pPr>
              <w:pStyle w:val="6"/>
              <w:spacing w:before="261" w:line="219" w:lineRule="auto"/>
              <w:ind w:left="63"/>
              <w:rPr>
                <w:sz w:val="16"/>
                <w:szCs w:val="16"/>
              </w:rPr>
            </w:pPr>
            <w:r>
              <w:rPr>
                <w:spacing w:val="-2"/>
                <w:sz w:val="16"/>
                <w:szCs w:val="16"/>
              </w:rPr>
              <w:t>设计喷水强度</w:t>
            </w:r>
          </w:p>
          <w:p>
            <w:pPr>
              <w:pStyle w:val="6"/>
              <w:spacing w:before="52" w:line="222" w:lineRule="auto"/>
              <w:ind w:left="13"/>
              <w:rPr>
                <w:sz w:val="16"/>
                <w:szCs w:val="16"/>
              </w:rPr>
            </w:pPr>
            <w:r>
              <w:rPr>
                <w:spacing w:val="-8"/>
                <w:sz w:val="16"/>
                <w:szCs w:val="16"/>
              </w:rPr>
              <w:t>[L/(min·m²)]</w:t>
            </w:r>
          </w:p>
        </w:tc>
        <w:tc>
          <w:tcPr>
            <w:tcW w:w="1118" w:type="dxa"/>
            <w:vAlign w:val="top"/>
          </w:tcPr>
          <w:p>
            <w:pPr>
              <w:pStyle w:val="6"/>
              <w:spacing w:before="262" w:line="220" w:lineRule="auto"/>
              <w:ind w:left="235"/>
              <w:rPr>
                <w:sz w:val="16"/>
                <w:szCs w:val="16"/>
              </w:rPr>
            </w:pPr>
            <w:r>
              <w:rPr>
                <w:spacing w:val="-2"/>
                <w:sz w:val="16"/>
                <w:szCs w:val="16"/>
              </w:rPr>
              <w:t>作用面积</w:t>
            </w:r>
          </w:p>
          <w:p>
            <w:pPr>
              <w:pStyle w:val="6"/>
              <w:spacing w:before="41" w:line="222" w:lineRule="auto"/>
              <w:ind w:left="355"/>
              <w:rPr>
                <w:sz w:val="16"/>
                <w:szCs w:val="16"/>
              </w:rPr>
            </w:pPr>
            <w:r>
              <w:rPr>
                <w:spacing w:val="-7"/>
                <w:sz w:val="16"/>
                <w:szCs w:val="16"/>
              </w:rPr>
              <w:t>(m²)</w:t>
            </w:r>
          </w:p>
        </w:tc>
        <w:tc>
          <w:tcPr>
            <w:tcW w:w="1213" w:type="dxa"/>
            <w:vAlign w:val="top"/>
          </w:tcPr>
          <w:p>
            <w:pPr>
              <w:spacing w:line="248" w:lineRule="auto"/>
              <w:rPr>
                <w:rFonts w:ascii="Arial"/>
                <w:sz w:val="21"/>
              </w:rPr>
            </w:pPr>
          </w:p>
          <w:p>
            <w:pPr>
              <w:pStyle w:val="6"/>
              <w:spacing w:before="52" w:line="221" w:lineRule="auto"/>
              <w:ind w:left="157" w:right="111" w:hanging="40"/>
              <w:rPr>
                <w:sz w:val="16"/>
                <w:szCs w:val="16"/>
              </w:rPr>
            </w:pPr>
            <w:r>
              <w:rPr>
                <w:spacing w:val="2"/>
                <w:sz w:val="16"/>
                <w:szCs w:val="16"/>
              </w:rPr>
              <w:t>系统设计最小</w:t>
            </w:r>
            <w:r>
              <w:rPr>
                <w:spacing w:val="4"/>
                <w:sz w:val="16"/>
                <w:szCs w:val="16"/>
              </w:rPr>
              <w:t>用水量(L/s)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2381" w:type="dxa"/>
            <w:gridSpan w:val="2"/>
            <w:vAlign w:val="top"/>
          </w:tcPr>
          <w:p>
            <w:pPr>
              <w:pStyle w:val="6"/>
              <w:spacing w:before="80" w:line="219" w:lineRule="auto"/>
              <w:ind w:left="864"/>
              <w:rPr>
                <w:sz w:val="16"/>
                <w:szCs w:val="16"/>
              </w:rPr>
            </w:pPr>
            <w:r>
              <w:rPr>
                <w:spacing w:val="-2"/>
                <w:sz w:val="16"/>
                <w:szCs w:val="16"/>
              </w:rPr>
              <w:t>轻危险级</w:t>
            </w:r>
          </w:p>
        </w:tc>
        <w:tc>
          <w:tcPr>
            <w:tcW w:w="1108" w:type="dxa"/>
            <w:vAlign w:val="top"/>
          </w:tcPr>
          <w:p>
            <w:pPr>
              <w:pStyle w:val="6"/>
              <w:spacing w:before="96" w:line="234" w:lineRule="auto"/>
              <w:ind w:left="503"/>
              <w:rPr>
                <w:sz w:val="16"/>
                <w:szCs w:val="16"/>
              </w:rPr>
            </w:pPr>
            <w:r>
              <w:rPr>
                <w:sz w:val="16"/>
                <w:szCs w:val="16"/>
              </w:rPr>
              <w:t>4</w:t>
            </w:r>
          </w:p>
        </w:tc>
        <w:tc>
          <w:tcPr>
            <w:tcW w:w="1118" w:type="dxa"/>
            <w:vAlign w:val="top"/>
          </w:tcPr>
          <w:p>
            <w:pPr>
              <w:pStyle w:val="6"/>
              <w:spacing w:before="96" w:line="234" w:lineRule="auto"/>
              <w:ind w:left="436"/>
              <w:rPr>
                <w:sz w:val="16"/>
                <w:szCs w:val="16"/>
              </w:rPr>
            </w:pPr>
            <w:r>
              <w:rPr>
                <w:spacing w:val="-5"/>
                <w:sz w:val="16"/>
                <w:szCs w:val="16"/>
              </w:rPr>
              <w:t>160</w:t>
            </w:r>
          </w:p>
        </w:tc>
        <w:tc>
          <w:tcPr>
            <w:tcW w:w="1213" w:type="dxa"/>
            <w:vAlign w:val="top"/>
          </w:tcPr>
          <w:p>
            <w:pPr>
              <w:pStyle w:val="6"/>
              <w:spacing w:before="96" w:line="234" w:lineRule="auto"/>
              <w:ind w:left="517"/>
              <w:rPr>
                <w:sz w:val="16"/>
                <w:szCs w:val="16"/>
              </w:rPr>
            </w:pPr>
            <w:r>
              <w:rPr>
                <w:spacing w:val="-5"/>
                <w:sz w:val="16"/>
                <w:szCs w:val="1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273" w:type="dxa"/>
            <w:vMerge w:val="restart"/>
            <w:tcBorders>
              <w:bottom w:val="nil"/>
            </w:tcBorders>
            <w:vAlign w:val="top"/>
          </w:tcPr>
          <w:p>
            <w:pPr>
              <w:pStyle w:val="6"/>
              <w:spacing w:before="242" w:line="220" w:lineRule="auto"/>
              <w:ind w:left="305"/>
              <w:rPr>
                <w:sz w:val="16"/>
                <w:szCs w:val="16"/>
              </w:rPr>
            </w:pPr>
            <w:r>
              <w:rPr>
                <w:spacing w:val="2"/>
                <w:sz w:val="16"/>
                <w:szCs w:val="16"/>
              </w:rPr>
              <w:t>中危险级</w:t>
            </w:r>
          </w:p>
        </w:tc>
        <w:tc>
          <w:tcPr>
            <w:tcW w:w="1108" w:type="dxa"/>
            <w:vAlign w:val="top"/>
          </w:tcPr>
          <w:p>
            <w:pPr>
              <w:pStyle w:val="6"/>
              <w:spacing w:before="83" w:line="221" w:lineRule="auto"/>
              <w:ind w:left="421"/>
              <w:rPr>
                <w:sz w:val="16"/>
                <w:szCs w:val="16"/>
              </w:rPr>
            </w:pPr>
            <w:r>
              <w:rPr>
                <w:spacing w:val="4"/>
                <w:sz w:val="16"/>
                <w:szCs w:val="16"/>
              </w:rPr>
              <w:t>I级</w:t>
            </w:r>
          </w:p>
        </w:tc>
        <w:tc>
          <w:tcPr>
            <w:tcW w:w="1108" w:type="dxa"/>
            <w:vAlign w:val="top"/>
          </w:tcPr>
          <w:p>
            <w:pPr>
              <w:pStyle w:val="6"/>
              <w:spacing w:before="97" w:line="232" w:lineRule="auto"/>
              <w:ind w:left="503"/>
              <w:rPr>
                <w:sz w:val="16"/>
                <w:szCs w:val="16"/>
              </w:rPr>
            </w:pPr>
            <w:r>
              <w:rPr>
                <w:sz w:val="16"/>
                <w:szCs w:val="16"/>
              </w:rPr>
              <w:t>6</w:t>
            </w:r>
          </w:p>
        </w:tc>
        <w:tc>
          <w:tcPr>
            <w:tcW w:w="1118" w:type="dxa"/>
            <w:vAlign w:val="top"/>
          </w:tcPr>
          <w:p>
            <w:pPr>
              <w:pStyle w:val="6"/>
              <w:spacing w:before="97" w:line="232" w:lineRule="auto"/>
              <w:ind w:left="436"/>
              <w:rPr>
                <w:sz w:val="16"/>
                <w:szCs w:val="16"/>
              </w:rPr>
            </w:pPr>
            <w:r>
              <w:rPr>
                <w:spacing w:val="-5"/>
                <w:sz w:val="16"/>
                <w:szCs w:val="16"/>
              </w:rPr>
              <w:t>160</w:t>
            </w:r>
          </w:p>
        </w:tc>
        <w:tc>
          <w:tcPr>
            <w:tcW w:w="1213" w:type="dxa"/>
            <w:vAlign w:val="top"/>
          </w:tcPr>
          <w:p>
            <w:pPr>
              <w:pStyle w:val="6"/>
              <w:spacing w:before="97" w:line="232" w:lineRule="auto"/>
              <w:ind w:left="517"/>
              <w:rPr>
                <w:sz w:val="16"/>
                <w:szCs w:val="16"/>
              </w:rPr>
            </w:pPr>
            <w:r>
              <w:rPr>
                <w:spacing w:val="-3"/>
                <w:sz w:val="16"/>
                <w:szCs w:val="16"/>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273" w:type="dxa"/>
            <w:vMerge w:val="continue"/>
            <w:tcBorders>
              <w:top w:val="nil"/>
            </w:tcBorders>
            <w:vAlign w:val="top"/>
          </w:tcPr>
          <w:p>
            <w:pPr>
              <w:rPr>
                <w:rFonts w:ascii="Arial"/>
                <w:sz w:val="21"/>
              </w:rPr>
            </w:pPr>
          </w:p>
        </w:tc>
        <w:tc>
          <w:tcPr>
            <w:tcW w:w="1108" w:type="dxa"/>
            <w:vAlign w:val="top"/>
          </w:tcPr>
          <w:p>
            <w:pPr>
              <w:pStyle w:val="6"/>
              <w:spacing w:before="84" w:line="221" w:lineRule="auto"/>
              <w:ind w:left="381"/>
              <w:rPr>
                <w:sz w:val="16"/>
                <w:szCs w:val="16"/>
              </w:rPr>
            </w:pPr>
            <w:r>
              <w:rPr>
                <w:spacing w:val="-17"/>
                <w:sz w:val="16"/>
                <w:szCs w:val="16"/>
              </w:rPr>
              <w:t>Ⅱ级</w:t>
            </w:r>
          </w:p>
        </w:tc>
        <w:tc>
          <w:tcPr>
            <w:tcW w:w="1108" w:type="dxa"/>
            <w:vAlign w:val="top"/>
          </w:tcPr>
          <w:p>
            <w:pPr>
              <w:pStyle w:val="6"/>
              <w:spacing w:before="98" w:line="230" w:lineRule="auto"/>
              <w:ind w:left="503"/>
              <w:rPr>
                <w:sz w:val="16"/>
                <w:szCs w:val="16"/>
              </w:rPr>
            </w:pPr>
            <w:r>
              <w:rPr>
                <w:sz w:val="16"/>
                <w:szCs w:val="16"/>
              </w:rPr>
              <w:t>8</w:t>
            </w:r>
          </w:p>
        </w:tc>
        <w:tc>
          <w:tcPr>
            <w:tcW w:w="1118" w:type="dxa"/>
            <w:vAlign w:val="top"/>
          </w:tcPr>
          <w:p>
            <w:pPr>
              <w:pStyle w:val="6"/>
              <w:spacing w:before="98" w:line="230" w:lineRule="auto"/>
              <w:ind w:left="436"/>
              <w:rPr>
                <w:sz w:val="16"/>
                <w:szCs w:val="16"/>
              </w:rPr>
            </w:pPr>
            <w:r>
              <w:rPr>
                <w:spacing w:val="-5"/>
                <w:sz w:val="16"/>
                <w:szCs w:val="16"/>
              </w:rPr>
              <w:t>160</w:t>
            </w:r>
          </w:p>
        </w:tc>
        <w:tc>
          <w:tcPr>
            <w:tcW w:w="1213" w:type="dxa"/>
            <w:vAlign w:val="top"/>
          </w:tcPr>
          <w:p>
            <w:pPr>
              <w:pStyle w:val="6"/>
              <w:spacing w:before="98" w:line="230" w:lineRule="auto"/>
              <w:ind w:left="517"/>
              <w:rPr>
                <w:sz w:val="16"/>
                <w:szCs w:val="16"/>
              </w:rPr>
            </w:pPr>
            <w:r>
              <w:rPr>
                <w:spacing w:val="-3"/>
                <w:sz w:val="16"/>
                <w:szCs w:val="16"/>
              </w:rPr>
              <w:t>29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273" w:type="dxa"/>
            <w:vMerge w:val="restart"/>
            <w:tcBorders>
              <w:bottom w:val="nil"/>
            </w:tcBorders>
            <w:vAlign w:val="top"/>
          </w:tcPr>
          <w:p>
            <w:pPr>
              <w:pStyle w:val="6"/>
              <w:spacing w:before="235" w:line="220" w:lineRule="auto"/>
              <w:ind w:left="225"/>
              <w:rPr>
                <w:sz w:val="16"/>
                <w:szCs w:val="16"/>
              </w:rPr>
            </w:pPr>
            <w:r>
              <w:rPr>
                <w:spacing w:val="-2"/>
                <w:sz w:val="16"/>
                <w:szCs w:val="16"/>
              </w:rPr>
              <w:t>严重危险级</w:t>
            </w:r>
          </w:p>
        </w:tc>
        <w:tc>
          <w:tcPr>
            <w:tcW w:w="1108" w:type="dxa"/>
            <w:vAlign w:val="top"/>
          </w:tcPr>
          <w:p>
            <w:pPr>
              <w:pStyle w:val="6"/>
              <w:spacing w:before="86" w:line="221" w:lineRule="auto"/>
              <w:ind w:left="421"/>
              <w:rPr>
                <w:sz w:val="16"/>
                <w:szCs w:val="16"/>
              </w:rPr>
            </w:pPr>
            <w:r>
              <w:rPr>
                <w:spacing w:val="4"/>
                <w:sz w:val="16"/>
                <w:szCs w:val="16"/>
              </w:rPr>
              <w:t>I级</w:t>
            </w:r>
          </w:p>
        </w:tc>
        <w:tc>
          <w:tcPr>
            <w:tcW w:w="1108" w:type="dxa"/>
            <w:vAlign w:val="top"/>
          </w:tcPr>
          <w:p>
            <w:pPr>
              <w:pStyle w:val="6"/>
              <w:spacing w:before="100" w:line="229" w:lineRule="auto"/>
              <w:ind w:left="463"/>
              <w:rPr>
                <w:sz w:val="16"/>
                <w:szCs w:val="16"/>
              </w:rPr>
            </w:pPr>
            <w:r>
              <w:rPr>
                <w:spacing w:val="-5"/>
                <w:sz w:val="16"/>
                <w:szCs w:val="16"/>
              </w:rPr>
              <w:t>12</w:t>
            </w:r>
          </w:p>
        </w:tc>
        <w:tc>
          <w:tcPr>
            <w:tcW w:w="1118" w:type="dxa"/>
            <w:vAlign w:val="top"/>
          </w:tcPr>
          <w:p>
            <w:pPr>
              <w:pStyle w:val="6"/>
              <w:spacing w:before="100" w:line="229" w:lineRule="auto"/>
              <w:ind w:left="436"/>
              <w:rPr>
                <w:sz w:val="16"/>
                <w:szCs w:val="16"/>
              </w:rPr>
            </w:pPr>
            <w:r>
              <w:rPr>
                <w:spacing w:val="-2"/>
                <w:sz w:val="16"/>
                <w:szCs w:val="16"/>
              </w:rPr>
              <w:t>260</w:t>
            </w:r>
          </w:p>
        </w:tc>
        <w:tc>
          <w:tcPr>
            <w:tcW w:w="1213" w:type="dxa"/>
            <w:vAlign w:val="top"/>
          </w:tcPr>
          <w:p>
            <w:pPr>
              <w:pStyle w:val="6"/>
              <w:spacing w:before="84" w:line="219" w:lineRule="auto"/>
              <w:ind w:left="278"/>
              <w:rPr>
                <w:sz w:val="16"/>
                <w:szCs w:val="16"/>
              </w:rPr>
            </w:pPr>
            <w:r>
              <w:rPr>
                <w:spacing w:val="-2"/>
                <w:sz w:val="16"/>
                <w:szCs w:val="16"/>
              </w:rPr>
              <w:t>计算确定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273" w:type="dxa"/>
            <w:vMerge w:val="continue"/>
            <w:tcBorders>
              <w:top w:val="nil"/>
            </w:tcBorders>
            <w:vAlign w:val="top"/>
          </w:tcPr>
          <w:p>
            <w:pPr>
              <w:rPr>
                <w:rFonts w:ascii="Arial"/>
                <w:sz w:val="21"/>
              </w:rPr>
            </w:pPr>
          </w:p>
        </w:tc>
        <w:tc>
          <w:tcPr>
            <w:tcW w:w="1108" w:type="dxa"/>
            <w:vAlign w:val="top"/>
          </w:tcPr>
          <w:p>
            <w:pPr>
              <w:pStyle w:val="6"/>
              <w:spacing w:before="77" w:line="221" w:lineRule="auto"/>
              <w:ind w:left="381"/>
              <w:rPr>
                <w:sz w:val="16"/>
                <w:szCs w:val="16"/>
              </w:rPr>
            </w:pPr>
            <w:r>
              <w:rPr>
                <w:spacing w:val="-17"/>
                <w:sz w:val="16"/>
                <w:szCs w:val="16"/>
              </w:rPr>
              <w:t>Ⅱ级</w:t>
            </w:r>
          </w:p>
        </w:tc>
        <w:tc>
          <w:tcPr>
            <w:tcW w:w="1108" w:type="dxa"/>
            <w:vAlign w:val="top"/>
          </w:tcPr>
          <w:p>
            <w:pPr>
              <w:pStyle w:val="6"/>
              <w:spacing w:before="91" w:line="234" w:lineRule="auto"/>
              <w:ind w:left="463"/>
              <w:rPr>
                <w:sz w:val="16"/>
                <w:szCs w:val="16"/>
              </w:rPr>
            </w:pPr>
            <w:r>
              <w:rPr>
                <w:spacing w:val="-5"/>
                <w:sz w:val="16"/>
                <w:szCs w:val="16"/>
              </w:rPr>
              <w:t>16</w:t>
            </w:r>
          </w:p>
        </w:tc>
        <w:tc>
          <w:tcPr>
            <w:tcW w:w="1118" w:type="dxa"/>
            <w:vAlign w:val="top"/>
          </w:tcPr>
          <w:p>
            <w:pPr>
              <w:pStyle w:val="6"/>
              <w:spacing w:before="91" w:line="234" w:lineRule="auto"/>
              <w:ind w:left="436"/>
              <w:rPr>
                <w:sz w:val="16"/>
                <w:szCs w:val="16"/>
              </w:rPr>
            </w:pPr>
            <w:r>
              <w:rPr>
                <w:spacing w:val="-2"/>
                <w:sz w:val="16"/>
                <w:szCs w:val="16"/>
              </w:rPr>
              <w:t>260</w:t>
            </w:r>
          </w:p>
        </w:tc>
        <w:tc>
          <w:tcPr>
            <w:tcW w:w="1213" w:type="dxa"/>
            <w:vAlign w:val="top"/>
          </w:tcPr>
          <w:p>
            <w:pPr>
              <w:pStyle w:val="6"/>
              <w:spacing w:before="75" w:line="219" w:lineRule="auto"/>
              <w:ind w:left="278"/>
              <w:rPr>
                <w:sz w:val="16"/>
                <w:szCs w:val="16"/>
              </w:rPr>
            </w:pPr>
            <w:r>
              <w:rPr>
                <w:spacing w:val="-2"/>
                <w:sz w:val="16"/>
                <w:szCs w:val="16"/>
              </w:rPr>
              <w:t>计算确定</w:t>
            </w:r>
          </w:p>
        </w:tc>
      </w:tr>
    </w:tbl>
    <w:p>
      <w:pPr>
        <w:spacing w:before="102" w:line="219" w:lineRule="auto"/>
        <w:ind w:left="189"/>
        <w:rPr>
          <w:rFonts w:ascii="宋体" w:hAnsi="宋体" w:eastAsia="宋体" w:cs="宋体"/>
          <w:sz w:val="16"/>
          <w:szCs w:val="16"/>
        </w:rPr>
      </w:pPr>
      <w:r>
        <w:rPr>
          <w:rFonts w:ascii="宋体" w:hAnsi="宋体" w:eastAsia="宋体" w:cs="宋体"/>
          <w:spacing w:val="-4"/>
          <w:sz w:val="16"/>
          <w:szCs w:val="16"/>
        </w:rPr>
        <w:t>注：系统最不利点处洒水喷头的工作压力不应低于0.05</w:t>
      </w:r>
      <w:r>
        <w:rPr>
          <w:rFonts w:ascii="Times New Roman" w:hAnsi="Times New Roman" w:eastAsia="Times New Roman" w:cs="Times New Roman"/>
          <w:spacing w:val="-4"/>
          <w:sz w:val="16"/>
          <w:szCs w:val="16"/>
        </w:rPr>
        <w:t>MPa</w:t>
      </w:r>
      <w:r>
        <w:rPr>
          <w:rFonts w:ascii="宋体" w:hAnsi="宋体" w:eastAsia="宋体" w:cs="宋体"/>
          <w:spacing w:val="-4"/>
          <w:sz w:val="16"/>
          <w:szCs w:val="16"/>
        </w:rPr>
        <w:t>。</w:t>
      </w:r>
    </w:p>
    <w:p>
      <w:pPr>
        <w:spacing w:before="191" w:line="282" w:lineRule="auto"/>
        <w:ind w:firstLine="3"/>
        <w:rPr>
          <w:rFonts w:ascii="宋体" w:hAnsi="宋体" w:eastAsia="宋体" w:cs="宋体"/>
          <w:sz w:val="21"/>
          <w:szCs w:val="21"/>
        </w:rPr>
      </w:pPr>
      <w:r>
        <w:rPr>
          <w:rFonts w:ascii="宋体" w:hAnsi="宋体" w:eastAsia="宋体" w:cs="宋体"/>
          <w:b/>
          <w:bCs/>
          <w:spacing w:val="2"/>
          <w:sz w:val="21"/>
          <w:szCs w:val="21"/>
        </w:rPr>
        <w:t>6.1.5</w:t>
      </w:r>
      <w:r>
        <w:rPr>
          <w:rFonts w:ascii="宋体" w:hAnsi="宋体" w:eastAsia="宋体" w:cs="宋体"/>
          <w:spacing w:val="2"/>
          <w:sz w:val="21"/>
          <w:szCs w:val="21"/>
        </w:rPr>
        <w:t>高大空间场所(净空高度大于8m)设置自动喷水灭火系统时，湿式系统的设计用水量和设计基本参数不应小于表6.1.5的</w:t>
      </w:r>
    </w:p>
    <w:p>
      <w:pPr>
        <w:spacing w:line="282" w:lineRule="auto"/>
        <w:rPr>
          <w:rFonts w:ascii="宋体" w:hAnsi="宋体" w:eastAsia="宋体" w:cs="宋体"/>
          <w:sz w:val="21"/>
          <w:szCs w:val="21"/>
        </w:rPr>
        <w:sectPr>
          <w:footerReference r:id="rId44" w:type="default"/>
          <w:pgSz w:w="8280" w:h="11850"/>
          <w:pgMar w:top="400" w:right="1211" w:bottom="1290" w:left="1210" w:header="0" w:footer="1017" w:gutter="0"/>
          <w:cols w:space="720" w:num="1"/>
        </w:sectPr>
      </w:pPr>
    </w:p>
    <w:p>
      <w:pPr>
        <w:pStyle w:val="2"/>
        <w:spacing w:line="296" w:lineRule="auto"/>
      </w:pPr>
    </w:p>
    <w:p>
      <w:pPr>
        <w:pStyle w:val="2"/>
        <w:spacing w:line="296" w:lineRule="auto"/>
      </w:pPr>
    </w:p>
    <w:p>
      <w:pPr>
        <w:pStyle w:val="2"/>
        <w:spacing w:line="297" w:lineRule="auto"/>
      </w:pPr>
    </w:p>
    <w:p>
      <w:pPr>
        <w:spacing w:before="52" w:line="220" w:lineRule="auto"/>
        <w:rPr>
          <w:rFonts w:ascii="宋体" w:hAnsi="宋体" w:eastAsia="宋体" w:cs="宋体"/>
          <w:sz w:val="16"/>
          <w:szCs w:val="16"/>
        </w:rPr>
      </w:pPr>
      <w:r>
        <w:rPr>
          <w:rFonts w:ascii="宋体" w:hAnsi="宋体" w:eastAsia="宋体" w:cs="宋体"/>
          <w:spacing w:val="-6"/>
          <w:sz w:val="16"/>
          <w:szCs w:val="16"/>
        </w:rPr>
        <w:t>规定。</w:t>
      </w:r>
    </w:p>
    <w:p>
      <w:pPr>
        <w:spacing w:before="176" w:line="221" w:lineRule="auto"/>
        <w:ind w:left="162"/>
        <w:rPr>
          <w:rFonts w:ascii="黑体" w:hAnsi="黑体" w:eastAsia="黑体" w:cs="黑体"/>
          <w:sz w:val="21"/>
          <w:szCs w:val="21"/>
        </w:rPr>
      </w:pPr>
      <w:bookmarkStart w:id="35" w:name="bookmark87"/>
      <w:bookmarkEnd w:id="35"/>
      <w:r>
        <w:rPr>
          <w:rFonts w:ascii="黑体" w:hAnsi="黑体" w:eastAsia="黑体" w:cs="黑体"/>
          <w:b/>
          <w:bCs/>
          <w:spacing w:val="-19"/>
          <w:w w:val="96"/>
          <w:sz w:val="21"/>
          <w:szCs w:val="21"/>
        </w:rPr>
        <w:t>表6.1.5高大空间场所自动喷水灭火系统的设计水量及设计基本参数</w:t>
      </w:r>
    </w:p>
    <w:p>
      <w:pPr>
        <w:spacing w:line="69" w:lineRule="exact"/>
      </w:pPr>
    </w:p>
    <w:tbl>
      <w:tblPr>
        <w:tblStyle w:val="5"/>
        <w:tblW w:w="586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2"/>
        <w:gridCol w:w="799"/>
        <w:gridCol w:w="639"/>
        <w:gridCol w:w="788"/>
        <w:gridCol w:w="649"/>
        <w:gridCol w:w="79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2" w:hRule="atLeast"/>
        </w:trPr>
        <w:tc>
          <w:tcPr>
            <w:tcW w:w="1432" w:type="dxa"/>
            <w:tcBorders>
              <w:tl2br w:val="single" w:color="000000" w:sz="4" w:space="0"/>
            </w:tcBorders>
            <w:vAlign w:val="top"/>
          </w:tcPr>
          <w:p>
            <w:pPr>
              <w:spacing w:line="395" w:lineRule="auto"/>
              <w:rPr>
                <w:rFonts w:ascii="Arial"/>
                <w:sz w:val="21"/>
              </w:rPr>
            </w:pPr>
          </w:p>
          <w:p>
            <w:pPr>
              <w:pStyle w:val="6"/>
              <w:spacing w:before="55" w:line="230" w:lineRule="auto"/>
              <w:ind w:left="15" w:right="114" w:firstLine="919"/>
            </w:pPr>
            <w:r>
              <w:rPr>
                <w:spacing w:val="-25"/>
              </w:rPr>
              <w:t>项目</w:t>
            </w:r>
            <w:r>
              <w:rPr>
                <w:spacing w:val="-2"/>
              </w:rPr>
              <w:t>适用场所</w:t>
            </w:r>
          </w:p>
        </w:tc>
        <w:tc>
          <w:tcPr>
            <w:tcW w:w="799" w:type="dxa"/>
            <w:vAlign w:val="top"/>
          </w:tcPr>
          <w:p>
            <w:pPr>
              <w:spacing w:line="294" w:lineRule="auto"/>
              <w:rPr>
                <w:rFonts w:ascii="Arial"/>
                <w:sz w:val="21"/>
              </w:rPr>
            </w:pPr>
          </w:p>
          <w:p>
            <w:pPr>
              <w:pStyle w:val="6"/>
              <w:spacing w:before="56" w:line="217" w:lineRule="auto"/>
              <w:ind w:left="133"/>
            </w:pPr>
            <w:r>
              <w:rPr>
                <w:spacing w:val="-2"/>
              </w:rPr>
              <w:t>最大净</w:t>
            </w:r>
          </w:p>
          <w:p>
            <w:pPr>
              <w:pStyle w:val="6"/>
              <w:spacing w:line="256" w:lineRule="auto"/>
              <w:ind w:left="223" w:right="135" w:hanging="90"/>
            </w:pPr>
            <w:r>
              <w:rPr>
                <w:spacing w:val="3"/>
              </w:rPr>
              <w:t>空高度</w:t>
            </w:r>
            <w:r>
              <w:rPr>
                <w:spacing w:val="-1"/>
              </w:rPr>
              <w:t>H(m)</w:t>
            </w:r>
          </w:p>
        </w:tc>
        <w:tc>
          <w:tcPr>
            <w:tcW w:w="639" w:type="dxa"/>
            <w:vAlign w:val="top"/>
          </w:tcPr>
          <w:p>
            <w:pPr>
              <w:pStyle w:val="6"/>
              <w:spacing w:before="112" w:line="220" w:lineRule="auto"/>
              <w:ind w:left="53"/>
            </w:pPr>
            <w:r>
              <w:rPr>
                <w:spacing w:val="-3"/>
              </w:rPr>
              <w:t>设计喷</w:t>
            </w:r>
          </w:p>
          <w:p>
            <w:pPr>
              <w:pStyle w:val="6"/>
              <w:spacing w:before="17" w:line="219" w:lineRule="auto"/>
              <w:ind w:left="53"/>
            </w:pPr>
            <w:r>
              <w:rPr>
                <w:spacing w:val="-2"/>
              </w:rPr>
              <w:t>水强度</w:t>
            </w:r>
          </w:p>
          <w:p>
            <w:pPr>
              <w:pStyle w:val="6"/>
              <w:spacing w:before="13" w:line="224" w:lineRule="auto"/>
              <w:ind w:left="183"/>
            </w:pPr>
            <w:r>
              <w:rPr>
                <w:spacing w:val="-8"/>
              </w:rPr>
              <w:t>[L/</w:t>
            </w:r>
          </w:p>
          <w:p>
            <w:pPr>
              <w:pStyle w:val="6"/>
              <w:spacing w:before="21" w:line="222" w:lineRule="auto"/>
              <w:ind w:left="53"/>
            </w:pPr>
            <w:r>
              <w:rPr>
                <w:spacing w:val="-8"/>
              </w:rPr>
              <w:t>(min·</w:t>
            </w:r>
          </w:p>
          <w:p>
            <w:pPr>
              <w:pStyle w:val="6"/>
              <w:spacing w:before="5" w:line="222" w:lineRule="auto"/>
              <w:ind w:left="93"/>
            </w:pPr>
            <w:r>
              <w:rPr>
                <w:spacing w:val="-1"/>
              </w:rPr>
              <w:t>m²)]</w:t>
            </w:r>
          </w:p>
        </w:tc>
        <w:tc>
          <w:tcPr>
            <w:tcW w:w="788" w:type="dxa"/>
            <w:vAlign w:val="top"/>
          </w:tcPr>
          <w:p>
            <w:pPr>
              <w:spacing w:line="385" w:lineRule="auto"/>
              <w:rPr>
                <w:rFonts w:ascii="Arial"/>
                <w:sz w:val="21"/>
              </w:rPr>
            </w:pPr>
          </w:p>
          <w:p>
            <w:pPr>
              <w:pStyle w:val="6"/>
              <w:spacing w:before="55" w:line="219" w:lineRule="auto"/>
              <w:ind w:left="45"/>
            </w:pPr>
            <w:r>
              <w:rPr>
                <w:spacing w:val="-2"/>
              </w:rPr>
              <w:t>作用面积</w:t>
            </w:r>
          </w:p>
          <w:p>
            <w:pPr>
              <w:pStyle w:val="6"/>
              <w:spacing w:line="222" w:lineRule="auto"/>
              <w:ind w:left="175"/>
            </w:pPr>
            <w:r>
              <w:rPr>
                <w:spacing w:val="-7"/>
              </w:rPr>
              <w:t>(m²)</w:t>
            </w:r>
          </w:p>
        </w:tc>
        <w:tc>
          <w:tcPr>
            <w:tcW w:w="649" w:type="dxa"/>
            <w:vAlign w:val="top"/>
          </w:tcPr>
          <w:p>
            <w:pPr>
              <w:spacing w:line="294" w:lineRule="auto"/>
              <w:rPr>
                <w:rFonts w:ascii="Arial"/>
                <w:sz w:val="21"/>
              </w:rPr>
            </w:pPr>
          </w:p>
          <w:p>
            <w:pPr>
              <w:pStyle w:val="6"/>
              <w:spacing w:before="56" w:line="217" w:lineRule="auto"/>
              <w:ind w:left="67"/>
            </w:pPr>
            <w:r>
              <w:rPr>
                <w:spacing w:val="2"/>
              </w:rPr>
              <w:t>喷头流</w:t>
            </w:r>
          </w:p>
          <w:p>
            <w:pPr>
              <w:pStyle w:val="6"/>
              <w:spacing w:line="219" w:lineRule="auto"/>
              <w:ind w:left="67"/>
            </w:pPr>
            <w:r>
              <w:rPr>
                <w:spacing w:val="-2"/>
              </w:rPr>
              <w:t>量系数</w:t>
            </w:r>
          </w:p>
          <w:p>
            <w:pPr>
              <w:pStyle w:val="6"/>
              <w:spacing w:before="63" w:line="182" w:lineRule="auto"/>
              <w:ind w:left="277"/>
            </w:pPr>
            <w:r>
              <w:t>K</w:t>
            </w:r>
          </w:p>
        </w:tc>
        <w:tc>
          <w:tcPr>
            <w:tcW w:w="799" w:type="dxa"/>
            <w:vAlign w:val="top"/>
          </w:tcPr>
          <w:p>
            <w:pPr>
              <w:spacing w:line="394" w:lineRule="auto"/>
              <w:rPr>
                <w:rFonts w:ascii="Arial"/>
                <w:sz w:val="21"/>
              </w:rPr>
            </w:pPr>
          </w:p>
          <w:p>
            <w:pPr>
              <w:pStyle w:val="6"/>
              <w:spacing w:before="56" w:line="245" w:lineRule="auto"/>
              <w:ind w:left="227" w:right="42" w:hanging="169"/>
            </w:pPr>
            <w:r>
              <w:rPr>
                <w:spacing w:val="2"/>
              </w:rPr>
              <w:t>喷头间距</w:t>
            </w:r>
            <w:r>
              <w:rPr>
                <w:spacing w:val="-1"/>
              </w:rPr>
              <w:t>B(m)</w:t>
            </w:r>
          </w:p>
        </w:tc>
        <w:tc>
          <w:tcPr>
            <w:tcW w:w="754" w:type="dxa"/>
            <w:vAlign w:val="top"/>
          </w:tcPr>
          <w:p>
            <w:pPr>
              <w:spacing w:line="285" w:lineRule="auto"/>
              <w:rPr>
                <w:rFonts w:ascii="Arial"/>
                <w:sz w:val="21"/>
              </w:rPr>
            </w:pPr>
          </w:p>
          <w:p>
            <w:pPr>
              <w:pStyle w:val="6"/>
              <w:spacing w:before="56" w:line="221" w:lineRule="auto"/>
              <w:ind w:left="29"/>
            </w:pPr>
            <w:r>
              <w:rPr>
                <w:spacing w:val="-2"/>
              </w:rPr>
              <w:t>系统设计</w:t>
            </w:r>
          </w:p>
          <w:p>
            <w:pPr>
              <w:pStyle w:val="6"/>
              <w:spacing w:before="5" w:line="256" w:lineRule="auto"/>
              <w:ind w:left="68" w:right="37" w:hanging="39"/>
            </w:pPr>
            <w:r>
              <w:rPr>
                <w:spacing w:val="-3"/>
              </w:rPr>
              <w:t>最小用水</w:t>
            </w:r>
            <w:r>
              <w:rPr>
                <w:spacing w:val="7"/>
              </w:rPr>
              <w:t>量(L/s)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trPr>
        <w:tc>
          <w:tcPr>
            <w:tcW w:w="1432" w:type="dxa"/>
            <w:vMerge w:val="restart"/>
            <w:tcBorders>
              <w:bottom w:val="nil"/>
            </w:tcBorders>
            <w:vAlign w:val="top"/>
          </w:tcPr>
          <w:p>
            <w:pPr>
              <w:pStyle w:val="6"/>
              <w:spacing w:before="69" w:line="231" w:lineRule="auto"/>
              <w:ind w:left="25"/>
              <w:jc w:val="both"/>
            </w:pPr>
            <w:r>
              <w:rPr>
                <w:spacing w:val="-5"/>
              </w:rPr>
              <w:t>中庭、体育馆、航</w:t>
            </w:r>
            <w:r>
              <w:rPr>
                <w:spacing w:val="-4"/>
              </w:rPr>
              <w:t>站楼、游客接待中</w:t>
            </w:r>
            <w:r>
              <w:rPr>
                <w:spacing w:val="-8"/>
              </w:rPr>
              <w:t>心大厅、缆车中转</w:t>
            </w:r>
            <w:r>
              <w:rPr>
                <w:spacing w:val="4"/>
              </w:rPr>
              <w:t>大厅、车站大厅、</w:t>
            </w:r>
            <w:r>
              <w:rPr>
                <w:spacing w:val="-7"/>
              </w:rPr>
              <w:t>餐厅上空、高校食</w:t>
            </w:r>
            <w:r>
              <w:rPr>
                <w:spacing w:val="-5"/>
              </w:rPr>
              <w:t>堂上空、室内游乐</w:t>
            </w:r>
            <w:r>
              <w:rPr>
                <w:spacing w:val="6"/>
              </w:rPr>
              <w:t>设施上空</w:t>
            </w:r>
          </w:p>
        </w:tc>
        <w:tc>
          <w:tcPr>
            <w:tcW w:w="799" w:type="dxa"/>
            <w:vAlign w:val="top"/>
          </w:tcPr>
          <w:p>
            <w:pPr>
              <w:pStyle w:val="6"/>
              <w:spacing w:before="234" w:line="254" w:lineRule="auto"/>
              <w:ind w:left="302" w:right="198" w:hanging="129"/>
            </w:pPr>
            <w:r>
              <w:rPr>
                <w:spacing w:val="-2"/>
              </w:rPr>
              <w:t>8&lt;H≤</w:t>
            </w:r>
            <w:r>
              <w:rPr>
                <w:spacing w:val="-5"/>
              </w:rPr>
              <w:t>12</w:t>
            </w:r>
          </w:p>
        </w:tc>
        <w:tc>
          <w:tcPr>
            <w:tcW w:w="639" w:type="dxa"/>
            <w:vAlign w:val="top"/>
          </w:tcPr>
          <w:p>
            <w:pPr>
              <w:spacing w:line="270" w:lineRule="auto"/>
              <w:rPr>
                <w:rFonts w:ascii="Arial"/>
                <w:sz w:val="21"/>
              </w:rPr>
            </w:pPr>
          </w:p>
          <w:p>
            <w:pPr>
              <w:pStyle w:val="6"/>
              <w:spacing w:before="55" w:line="241" w:lineRule="auto"/>
              <w:ind w:left="223"/>
            </w:pPr>
            <w:r>
              <w:rPr>
                <w:spacing w:val="-5"/>
              </w:rPr>
              <w:t>12</w:t>
            </w:r>
          </w:p>
        </w:tc>
        <w:tc>
          <w:tcPr>
            <w:tcW w:w="788" w:type="dxa"/>
            <w:vAlign w:val="top"/>
          </w:tcPr>
          <w:p>
            <w:pPr>
              <w:spacing w:line="269" w:lineRule="auto"/>
              <w:rPr>
                <w:rFonts w:ascii="Arial"/>
                <w:sz w:val="21"/>
              </w:rPr>
            </w:pPr>
          </w:p>
          <w:p>
            <w:pPr>
              <w:pStyle w:val="6"/>
              <w:spacing w:before="55"/>
              <w:ind w:left="255"/>
            </w:pPr>
            <w:r>
              <w:rPr>
                <w:spacing w:val="-5"/>
              </w:rPr>
              <w:t>160</w:t>
            </w:r>
          </w:p>
        </w:tc>
        <w:tc>
          <w:tcPr>
            <w:tcW w:w="649" w:type="dxa"/>
            <w:vAlign w:val="top"/>
          </w:tcPr>
          <w:p>
            <w:pPr>
              <w:spacing w:line="269" w:lineRule="auto"/>
              <w:rPr>
                <w:rFonts w:ascii="Arial"/>
                <w:sz w:val="21"/>
              </w:rPr>
            </w:pPr>
          </w:p>
          <w:p>
            <w:pPr>
              <w:pStyle w:val="6"/>
              <w:spacing w:before="56" w:line="237" w:lineRule="auto"/>
              <w:ind w:left="67"/>
            </w:pPr>
            <w:r>
              <w:rPr>
                <w:spacing w:val="-1"/>
              </w:rPr>
              <w:t>K≥115</w:t>
            </w:r>
          </w:p>
        </w:tc>
        <w:tc>
          <w:tcPr>
            <w:tcW w:w="799" w:type="dxa"/>
            <w:vAlign w:val="top"/>
          </w:tcPr>
          <w:p>
            <w:pPr>
              <w:pStyle w:val="6"/>
              <w:spacing w:before="225" w:line="249" w:lineRule="auto"/>
              <w:ind w:left="177" w:right="160" w:hanging="39"/>
            </w:pPr>
            <w:r>
              <w:rPr>
                <w:spacing w:val="-4"/>
              </w:rPr>
              <w:t>1.8≤B</w:t>
            </w:r>
            <w:r>
              <w:rPr>
                <w:spacing w:val="-5"/>
              </w:rPr>
              <w:t>≤3.0</w:t>
            </w:r>
          </w:p>
        </w:tc>
        <w:tc>
          <w:tcPr>
            <w:tcW w:w="754" w:type="dxa"/>
            <w:vAlign w:val="top"/>
          </w:tcPr>
          <w:p>
            <w:pPr>
              <w:spacing w:line="270" w:lineRule="auto"/>
              <w:rPr>
                <w:rFonts w:ascii="Arial"/>
                <w:sz w:val="21"/>
              </w:rPr>
            </w:pPr>
          </w:p>
          <w:p>
            <w:pPr>
              <w:pStyle w:val="6"/>
              <w:spacing w:before="55" w:line="241" w:lineRule="auto"/>
              <w:ind w:left="289"/>
            </w:pPr>
            <w:r>
              <w:rPr>
                <w:spacing w:val="-2"/>
              </w:rPr>
              <w:t>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1432" w:type="dxa"/>
            <w:vMerge w:val="continue"/>
            <w:tcBorders>
              <w:top w:val="nil"/>
            </w:tcBorders>
            <w:vAlign w:val="top"/>
          </w:tcPr>
          <w:p>
            <w:pPr>
              <w:rPr>
                <w:rFonts w:ascii="Arial"/>
                <w:sz w:val="21"/>
              </w:rPr>
            </w:pPr>
          </w:p>
        </w:tc>
        <w:tc>
          <w:tcPr>
            <w:tcW w:w="799" w:type="dxa"/>
            <w:vAlign w:val="top"/>
          </w:tcPr>
          <w:p>
            <w:pPr>
              <w:pStyle w:val="6"/>
              <w:spacing w:before="227" w:line="236" w:lineRule="auto"/>
              <w:ind w:left="133"/>
            </w:pPr>
            <w:r>
              <w:rPr>
                <w:spacing w:val="-3"/>
              </w:rPr>
              <w:t>12&lt;H≤</w:t>
            </w:r>
          </w:p>
          <w:p>
            <w:pPr>
              <w:pStyle w:val="6"/>
              <w:spacing w:before="4"/>
              <w:ind w:left="303"/>
            </w:pPr>
            <w:r>
              <w:rPr>
                <w:spacing w:val="-5"/>
              </w:rPr>
              <w:t>18</w:t>
            </w:r>
          </w:p>
        </w:tc>
        <w:tc>
          <w:tcPr>
            <w:tcW w:w="639" w:type="dxa"/>
            <w:vAlign w:val="top"/>
          </w:tcPr>
          <w:p>
            <w:pPr>
              <w:spacing w:line="271" w:lineRule="auto"/>
              <w:rPr>
                <w:rFonts w:ascii="Arial"/>
                <w:sz w:val="21"/>
              </w:rPr>
            </w:pPr>
          </w:p>
          <w:p>
            <w:pPr>
              <w:pStyle w:val="6"/>
              <w:spacing w:before="55"/>
              <w:ind w:left="223"/>
            </w:pPr>
            <w:r>
              <w:rPr>
                <w:spacing w:val="-5"/>
              </w:rPr>
              <w:t>15</w:t>
            </w:r>
          </w:p>
        </w:tc>
        <w:tc>
          <w:tcPr>
            <w:tcW w:w="788" w:type="dxa"/>
            <w:vAlign w:val="top"/>
          </w:tcPr>
          <w:p>
            <w:pPr>
              <w:spacing w:line="271" w:lineRule="auto"/>
              <w:rPr>
                <w:rFonts w:ascii="Arial"/>
                <w:sz w:val="21"/>
              </w:rPr>
            </w:pPr>
          </w:p>
          <w:p>
            <w:pPr>
              <w:pStyle w:val="6"/>
              <w:spacing w:before="55"/>
              <w:ind w:left="255"/>
            </w:pPr>
            <w:r>
              <w:rPr>
                <w:spacing w:val="-5"/>
              </w:rPr>
              <w:t>160</w:t>
            </w:r>
          </w:p>
        </w:tc>
        <w:tc>
          <w:tcPr>
            <w:tcW w:w="649" w:type="dxa"/>
            <w:vAlign w:val="top"/>
          </w:tcPr>
          <w:p>
            <w:pPr>
              <w:spacing w:line="271" w:lineRule="auto"/>
              <w:rPr>
                <w:rFonts w:ascii="Arial"/>
                <w:sz w:val="21"/>
              </w:rPr>
            </w:pPr>
          </w:p>
          <w:p>
            <w:pPr>
              <w:pStyle w:val="6"/>
              <w:spacing w:before="56" w:line="237" w:lineRule="auto"/>
              <w:ind w:left="67"/>
            </w:pPr>
            <w:r>
              <w:rPr>
                <w:spacing w:val="-1"/>
              </w:rPr>
              <w:t>K≥161</w:t>
            </w:r>
          </w:p>
        </w:tc>
        <w:tc>
          <w:tcPr>
            <w:tcW w:w="799" w:type="dxa"/>
            <w:vAlign w:val="top"/>
          </w:tcPr>
          <w:p>
            <w:pPr>
              <w:pStyle w:val="6"/>
              <w:spacing w:before="227" w:line="238" w:lineRule="auto"/>
              <w:ind w:left="177" w:right="160" w:hanging="39"/>
            </w:pPr>
            <w:r>
              <w:rPr>
                <w:spacing w:val="-4"/>
              </w:rPr>
              <w:t>1.8≤B</w:t>
            </w:r>
            <w:r>
              <w:rPr>
                <w:spacing w:val="-5"/>
              </w:rPr>
              <w:t>≤3.0</w:t>
            </w:r>
          </w:p>
        </w:tc>
        <w:tc>
          <w:tcPr>
            <w:tcW w:w="754" w:type="dxa"/>
            <w:vAlign w:val="top"/>
          </w:tcPr>
          <w:p>
            <w:pPr>
              <w:spacing w:line="271" w:lineRule="auto"/>
              <w:rPr>
                <w:rFonts w:ascii="Arial"/>
                <w:sz w:val="21"/>
              </w:rPr>
            </w:pPr>
          </w:p>
          <w:p>
            <w:pPr>
              <w:pStyle w:val="6"/>
              <w:spacing w:before="55"/>
              <w:ind w:left="289"/>
            </w:pPr>
            <w:r>
              <w:rPr>
                <w:spacing w:val="-3"/>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432" w:type="dxa"/>
            <w:vMerge w:val="restart"/>
            <w:tcBorders>
              <w:bottom w:val="nil"/>
            </w:tcBorders>
            <w:vAlign w:val="top"/>
          </w:tcPr>
          <w:p>
            <w:pPr>
              <w:pStyle w:val="6"/>
              <w:spacing w:before="124" w:line="220" w:lineRule="auto"/>
              <w:jc w:val="right"/>
            </w:pPr>
            <w:r>
              <w:rPr>
                <w:spacing w:val="4"/>
              </w:rPr>
              <w:t>影剧院、音乐厅、</w:t>
            </w:r>
          </w:p>
          <w:p>
            <w:pPr>
              <w:pStyle w:val="6"/>
              <w:spacing w:before="26" w:line="217" w:lineRule="auto"/>
              <w:ind w:left="25"/>
            </w:pPr>
            <w:r>
              <w:rPr>
                <w:spacing w:val="-1"/>
              </w:rPr>
              <w:t>会展中心、新闻发</w:t>
            </w:r>
          </w:p>
          <w:p>
            <w:pPr>
              <w:pStyle w:val="6"/>
              <w:spacing w:line="218" w:lineRule="auto"/>
              <w:ind w:left="115"/>
            </w:pPr>
            <w:r>
              <w:rPr>
                <w:spacing w:val="2"/>
              </w:rPr>
              <w:t>布大厅、媒体中</w:t>
            </w:r>
          </w:p>
          <w:p>
            <w:pPr>
              <w:pStyle w:val="6"/>
              <w:spacing w:before="9" w:line="220" w:lineRule="auto"/>
              <w:jc w:val="right"/>
            </w:pPr>
            <w:r>
              <w:rPr>
                <w:spacing w:val="-14"/>
              </w:rPr>
              <w:t>心、展厅、天文馆、</w:t>
            </w:r>
          </w:p>
          <w:p>
            <w:pPr>
              <w:pStyle w:val="6"/>
              <w:spacing w:before="6" w:line="219" w:lineRule="auto"/>
              <w:ind w:left="95"/>
            </w:pPr>
            <w:r>
              <w:rPr>
                <w:spacing w:val="1"/>
              </w:rPr>
              <w:t>画廊、歌舞厅</w:t>
            </w:r>
          </w:p>
        </w:tc>
        <w:tc>
          <w:tcPr>
            <w:tcW w:w="799" w:type="dxa"/>
            <w:vAlign w:val="top"/>
          </w:tcPr>
          <w:p>
            <w:pPr>
              <w:pStyle w:val="6"/>
              <w:spacing w:before="159" w:line="243" w:lineRule="auto"/>
              <w:ind w:left="302" w:right="198" w:hanging="129"/>
            </w:pPr>
            <w:r>
              <w:rPr>
                <w:spacing w:val="-2"/>
              </w:rPr>
              <w:t>8&lt;H≤</w:t>
            </w:r>
            <w:r>
              <w:rPr>
                <w:spacing w:val="-5"/>
              </w:rPr>
              <w:t>12</w:t>
            </w:r>
          </w:p>
        </w:tc>
        <w:tc>
          <w:tcPr>
            <w:tcW w:w="639" w:type="dxa"/>
            <w:vAlign w:val="top"/>
          </w:tcPr>
          <w:p>
            <w:pPr>
              <w:pStyle w:val="6"/>
              <w:spacing w:before="250"/>
              <w:ind w:left="223"/>
            </w:pPr>
            <w:r>
              <w:rPr>
                <w:spacing w:val="-5"/>
              </w:rPr>
              <w:t>15</w:t>
            </w:r>
          </w:p>
        </w:tc>
        <w:tc>
          <w:tcPr>
            <w:tcW w:w="788" w:type="dxa"/>
            <w:vAlign w:val="top"/>
          </w:tcPr>
          <w:p>
            <w:pPr>
              <w:pStyle w:val="6"/>
              <w:spacing w:before="250"/>
              <w:ind w:left="255"/>
            </w:pPr>
            <w:r>
              <w:rPr>
                <w:spacing w:val="-5"/>
              </w:rPr>
              <w:t>160</w:t>
            </w:r>
          </w:p>
        </w:tc>
        <w:tc>
          <w:tcPr>
            <w:tcW w:w="649" w:type="dxa"/>
            <w:vAlign w:val="top"/>
          </w:tcPr>
          <w:p>
            <w:pPr>
              <w:pStyle w:val="6"/>
              <w:spacing w:before="250" w:line="237" w:lineRule="auto"/>
              <w:ind w:left="67"/>
            </w:pPr>
            <w:r>
              <w:rPr>
                <w:spacing w:val="-1"/>
              </w:rPr>
              <w:t>K≥115</w:t>
            </w:r>
          </w:p>
        </w:tc>
        <w:tc>
          <w:tcPr>
            <w:tcW w:w="799" w:type="dxa"/>
            <w:vAlign w:val="top"/>
          </w:tcPr>
          <w:p>
            <w:pPr>
              <w:pStyle w:val="6"/>
              <w:spacing w:before="149" w:line="249" w:lineRule="auto"/>
              <w:ind w:left="177" w:right="160" w:hanging="39"/>
            </w:pPr>
            <w:r>
              <w:rPr>
                <w:spacing w:val="-4"/>
              </w:rPr>
              <w:t>1.8≤B</w:t>
            </w:r>
            <w:r>
              <w:rPr>
                <w:spacing w:val="-5"/>
              </w:rPr>
              <w:t>≤3.0</w:t>
            </w:r>
          </w:p>
        </w:tc>
        <w:tc>
          <w:tcPr>
            <w:tcW w:w="754" w:type="dxa"/>
            <w:vAlign w:val="top"/>
          </w:tcPr>
          <w:p>
            <w:pPr>
              <w:pStyle w:val="6"/>
              <w:spacing w:before="250"/>
              <w:ind w:left="289"/>
            </w:pPr>
            <w:r>
              <w:rPr>
                <w:spacing w:val="-3"/>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432" w:type="dxa"/>
            <w:vMerge w:val="continue"/>
            <w:tcBorders>
              <w:top w:val="nil"/>
            </w:tcBorders>
            <w:vAlign w:val="top"/>
          </w:tcPr>
          <w:p>
            <w:pPr>
              <w:rPr>
                <w:rFonts w:ascii="Arial"/>
                <w:sz w:val="21"/>
              </w:rPr>
            </w:pPr>
          </w:p>
        </w:tc>
        <w:tc>
          <w:tcPr>
            <w:tcW w:w="799" w:type="dxa"/>
            <w:vAlign w:val="top"/>
          </w:tcPr>
          <w:p>
            <w:pPr>
              <w:pStyle w:val="6"/>
              <w:spacing w:before="141" w:line="236" w:lineRule="auto"/>
              <w:ind w:left="133"/>
            </w:pPr>
            <w:r>
              <w:rPr>
                <w:spacing w:val="-3"/>
              </w:rPr>
              <w:t>12&lt;H≤</w:t>
            </w:r>
          </w:p>
          <w:p>
            <w:pPr>
              <w:pStyle w:val="6"/>
              <w:spacing w:before="14"/>
              <w:ind w:left="303"/>
            </w:pPr>
            <w:r>
              <w:rPr>
                <w:spacing w:val="-5"/>
              </w:rPr>
              <w:t>18</w:t>
            </w:r>
          </w:p>
        </w:tc>
        <w:tc>
          <w:tcPr>
            <w:tcW w:w="639" w:type="dxa"/>
            <w:vAlign w:val="top"/>
          </w:tcPr>
          <w:p>
            <w:pPr>
              <w:pStyle w:val="6"/>
              <w:spacing w:before="252"/>
              <w:ind w:left="223"/>
            </w:pPr>
            <w:r>
              <w:rPr>
                <w:spacing w:val="-3"/>
              </w:rPr>
              <w:t>20</w:t>
            </w:r>
          </w:p>
        </w:tc>
        <w:tc>
          <w:tcPr>
            <w:tcW w:w="788" w:type="dxa"/>
            <w:vAlign w:val="top"/>
          </w:tcPr>
          <w:p>
            <w:pPr>
              <w:pStyle w:val="6"/>
              <w:spacing w:before="252"/>
              <w:ind w:left="255"/>
            </w:pPr>
            <w:r>
              <w:rPr>
                <w:spacing w:val="-5"/>
              </w:rPr>
              <w:t>160</w:t>
            </w:r>
          </w:p>
        </w:tc>
        <w:tc>
          <w:tcPr>
            <w:tcW w:w="649" w:type="dxa"/>
            <w:vAlign w:val="top"/>
          </w:tcPr>
          <w:p>
            <w:pPr>
              <w:pStyle w:val="6"/>
              <w:spacing w:before="252" w:line="237" w:lineRule="auto"/>
              <w:ind w:left="67"/>
            </w:pPr>
            <w:r>
              <w:rPr>
                <w:spacing w:val="-1"/>
              </w:rPr>
              <w:t>K≥161</w:t>
            </w:r>
          </w:p>
        </w:tc>
        <w:tc>
          <w:tcPr>
            <w:tcW w:w="799" w:type="dxa"/>
            <w:vAlign w:val="top"/>
          </w:tcPr>
          <w:p>
            <w:pPr>
              <w:pStyle w:val="6"/>
              <w:spacing w:before="151" w:line="249" w:lineRule="auto"/>
              <w:ind w:left="177" w:right="160" w:hanging="39"/>
            </w:pPr>
            <w:r>
              <w:rPr>
                <w:spacing w:val="-4"/>
              </w:rPr>
              <w:t>1.8≤B</w:t>
            </w:r>
            <w:r>
              <w:rPr>
                <w:spacing w:val="-5"/>
              </w:rPr>
              <w:t>≤3.0</w:t>
            </w:r>
          </w:p>
        </w:tc>
        <w:tc>
          <w:tcPr>
            <w:tcW w:w="754" w:type="dxa"/>
            <w:vAlign w:val="top"/>
          </w:tcPr>
          <w:p>
            <w:pPr>
              <w:pStyle w:val="6"/>
              <w:spacing w:before="252"/>
              <w:ind w:left="289"/>
            </w:pPr>
            <w:r>
              <w:rPr>
                <w:spacing w:val="-3"/>
              </w:rPr>
              <w:t>70</w:t>
            </w:r>
          </w:p>
        </w:tc>
      </w:tr>
    </w:tbl>
    <w:p>
      <w:pPr>
        <w:spacing w:before="130" w:line="219" w:lineRule="auto"/>
        <w:jc w:val="right"/>
        <w:rPr>
          <w:rFonts w:ascii="宋体" w:hAnsi="宋体" w:eastAsia="宋体" w:cs="宋体"/>
          <w:sz w:val="16"/>
          <w:szCs w:val="16"/>
        </w:rPr>
      </w:pPr>
      <w:r>
        <w:rPr>
          <w:rFonts w:ascii="宋体" w:hAnsi="宋体" w:eastAsia="宋体" w:cs="宋体"/>
          <w:spacing w:val="-2"/>
          <w:sz w:val="16"/>
          <w:szCs w:val="16"/>
        </w:rPr>
        <w:t>注：当最大净空高度不超过12</w:t>
      </w:r>
      <w:r>
        <w:rPr>
          <w:rFonts w:ascii="Times New Roman" w:hAnsi="Times New Roman" w:eastAsia="Times New Roman" w:cs="Times New Roman"/>
          <w:spacing w:val="-2"/>
          <w:sz w:val="16"/>
          <w:szCs w:val="16"/>
        </w:rPr>
        <w:t>m</w:t>
      </w:r>
      <w:r>
        <w:rPr>
          <w:rFonts w:ascii="宋体" w:hAnsi="宋体" w:eastAsia="宋体" w:cs="宋体"/>
          <w:spacing w:val="-2"/>
          <w:sz w:val="16"/>
          <w:szCs w:val="16"/>
        </w:rPr>
        <w:t>时，可采用标准覆盖面积快速响应喷头和非仓</w:t>
      </w:r>
      <w:r>
        <w:rPr>
          <w:rFonts w:ascii="宋体" w:hAnsi="宋体" w:eastAsia="宋体" w:cs="宋体"/>
          <w:spacing w:val="-3"/>
          <w:sz w:val="16"/>
          <w:szCs w:val="16"/>
        </w:rPr>
        <w:t>库类</w:t>
      </w:r>
    </w:p>
    <w:p>
      <w:pPr>
        <w:spacing w:before="20" w:line="219" w:lineRule="auto"/>
        <w:ind w:left="409"/>
        <w:rPr>
          <w:rFonts w:ascii="宋体" w:hAnsi="宋体" w:eastAsia="宋体" w:cs="宋体"/>
          <w:sz w:val="16"/>
          <w:szCs w:val="16"/>
        </w:rPr>
      </w:pPr>
      <w:r>
        <w:rPr>
          <w:rFonts w:ascii="宋体" w:hAnsi="宋体" w:eastAsia="宋体" w:cs="宋体"/>
          <w:spacing w:val="-3"/>
          <w:sz w:val="16"/>
          <w:szCs w:val="16"/>
        </w:rPr>
        <w:t>特殊应用喷头；当净空高度超过12m时，应采用非仓</w:t>
      </w:r>
      <w:r>
        <w:rPr>
          <w:rFonts w:ascii="宋体" w:hAnsi="宋体" w:eastAsia="宋体" w:cs="宋体"/>
          <w:spacing w:val="-4"/>
          <w:sz w:val="16"/>
          <w:szCs w:val="16"/>
        </w:rPr>
        <w:t>库类特殊应用喷头。</w:t>
      </w:r>
    </w:p>
    <w:p>
      <w:pPr>
        <w:spacing w:before="172" w:line="264" w:lineRule="auto"/>
        <w:ind w:right="18"/>
        <w:rPr>
          <w:rFonts w:ascii="宋体" w:hAnsi="宋体" w:eastAsia="宋体" w:cs="宋体"/>
          <w:sz w:val="21"/>
          <w:szCs w:val="21"/>
        </w:rPr>
      </w:pPr>
      <w:r>
        <w:rPr>
          <w:rFonts w:ascii="宋体" w:hAnsi="宋体" w:eastAsia="宋体" w:cs="宋体"/>
          <w:spacing w:val="3"/>
          <w:sz w:val="21"/>
          <w:szCs w:val="21"/>
        </w:rPr>
        <w:t>6.1.6在同一个综合性建筑内或同一建筑物的不同部位，可根</w:t>
      </w:r>
      <w:r>
        <w:rPr>
          <w:rFonts w:ascii="宋体" w:hAnsi="宋体" w:eastAsia="宋体" w:cs="宋体"/>
          <w:spacing w:val="-1"/>
          <w:sz w:val="21"/>
          <w:szCs w:val="21"/>
        </w:rPr>
        <w:t>据实际使用功能确定不同场所的危险等级。</w:t>
      </w:r>
    </w:p>
    <w:p>
      <w:pPr>
        <w:spacing w:before="50" w:line="284" w:lineRule="auto"/>
        <w:ind w:right="15"/>
        <w:rPr>
          <w:rFonts w:ascii="宋体" w:hAnsi="宋体" w:eastAsia="宋体" w:cs="宋体"/>
          <w:sz w:val="16"/>
          <w:szCs w:val="16"/>
        </w:rPr>
      </w:pPr>
      <w:r>
        <w:rPr>
          <w:rFonts w:ascii="宋体" w:hAnsi="宋体" w:eastAsia="宋体" w:cs="宋体"/>
          <w:spacing w:val="18"/>
          <w:sz w:val="21"/>
          <w:szCs w:val="21"/>
        </w:rPr>
        <w:t>6.1.7自动喷水灭火系统的选择应根据使用场所情况进行</w:t>
      </w:r>
      <w:r>
        <w:rPr>
          <w:rFonts w:ascii="宋体" w:hAnsi="宋体" w:eastAsia="宋体" w:cs="宋体"/>
          <w:spacing w:val="-6"/>
          <w:sz w:val="16"/>
          <w:szCs w:val="16"/>
        </w:rPr>
        <w:t>确定。</w:t>
      </w:r>
    </w:p>
    <w:p>
      <w:pPr>
        <w:spacing w:before="71" w:line="219" w:lineRule="auto"/>
        <w:rPr>
          <w:rFonts w:ascii="宋体" w:hAnsi="宋体" w:eastAsia="宋体" w:cs="宋体"/>
          <w:sz w:val="21"/>
          <w:szCs w:val="21"/>
        </w:rPr>
      </w:pPr>
      <w:r>
        <w:rPr>
          <w:rFonts w:ascii="宋体" w:hAnsi="宋体" w:eastAsia="宋体" w:cs="宋体"/>
          <w:spacing w:val="4"/>
          <w:sz w:val="21"/>
          <w:szCs w:val="21"/>
        </w:rPr>
        <w:t>6.1.8自动喷水灭火系统的持续喷水时间应按表6.1.8确定。</w:t>
      </w:r>
    </w:p>
    <w:p>
      <w:pPr>
        <w:spacing w:before="166" w:line="221" w:lineRule="auto"/>
        <w:ind w:left="1252"/>
        <w:rPr>
          <w:rFonts w:ascii="黑体" w:hAnsi="黑体" w:eastAsia="黑体" w:cs="黑体"/>
          <w:sz w:val="21"/>
          <w:szCs w:val="21"/>
        </w:rPr>
      </w:pPr>
      <w:r>
        <w:rPr>
          <w:rFonts w:ascii="黑体" w:hAnsi="黑体" w:eastAsia="黑体" w:cs="黑体"/>
          <w:b/>
          <w:bCs/>
          <w:spacing w:val="-23"/>
          <w:sz w:val="21"/>
          <w:szCs w:val="21"/>
        </w:rPr>
        <w:t>表6.1.8自动喷水灭火系统持续喷水时间</w:t>
      </w:r>
    </w:p>
    <w:p>
      <w:pPr>
        <w:spacing w:line="70" w:lineRule="exact"/>
      </w:pPr>
    </w:p>
    <w:tbl>
      <w:tblPr>
        <w:tblStyle w:val="5"/>
        <w:tblW w:w="584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52"/>
        <w:gridCol w:w="2385"/>
        <w:gridCol w:w="1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752" w:type="dxa"/>
            <w:vAlign w:val="top"/>
          </w:tcPr>
          <w:p>
            <w:pPr>
              <w:pStyle w:val="6"/>
              <w:spacing w:before="72" w:line="219" w:lineRule="auto"/>
              <w:ind w:left="354"/>
            </w:pPr>
            <w:r>
              <w:rPr>
                <w:spacing w:val="1"/>
              </w:rPr>
              <w:t>灭火系统类型</w:t>
            </w:r>
          </w:p>
        </w:tc>
        <w:tc>
          <w:tcPr>
            <w:tcW w:w="2385" w:type="dxa"/>
            <w:vAlign w:val="top"/>
          </w:tcPr>
          <w:p>
            <w:pPr>
              <w:pStyle w:val="6"/>
              <w:spacing w:before="72" w:line="220" w:lineRule="auto"/>
              <w:ind w:left="762"/>
            </w:pPr>
            <w:r>
              <w:rPr>
                <w:spacing w:val="-2"/>
              </w:rPr>
              <w:t>建筑物名称</w:t>
            </w:r>
          </w:p>
        </w:tc>
        <w:tc>
          <w:tcPr>
            <w:tcW w:w="1712" w:type="dxa"/>
            <w:vAlign w:val="top"/>
          </w:tcPr>
          <w:p>
            <w:pPr>
              <w:pStyle w:val="6"/>
              <w:spacing w:before="72" w:line="219" w:lineRule="auto"/>
              <w:ind w:left="127"/>
            </w:pPr>
            <w:r>
              <w:rPr>
                <w:spacing w:val="4"/>
              </w:rPr>
              <w:t>持续喷水时间(</w:t>
            </w:r>
            <w:r>
              <w:t>min</w:t>
            </w:r>
            <w:r>
              <w:rPr>
                <w:spacing w:val="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752" w:type="dxa"/>
            <w:vAlign w:val="top"/>
          </w:tcPr>
          <w:p>
            <w:pPr>
              <w:pStyle w:val="6"/>
              <w:spacing w:before="199" w:line="220" w:lineRule="auto"/>
              <w:ind w:left="274"/>
            </w:pPr>
            <w:r>
              <w:rPr>
                <w:spacing w:val="-1"/>
              </w:rPr>
              <w:t>用于防护冷却时</w:t>
            </w:r>
          </w:p>
        </w:tc>
        <w:tc>
          <w:tcPr>
            <w:tcW w:w="2385" w:type="dxa"/>
            <w:vAlign w:val="top"/>
          </w:tcPr>
          <w:p>
            <w:pPr>
              <w:spacing w:line="251" w:lineRule="auto"/>
              <w:rPr>
                <w:rFonts w:ascii="Arial"/>
                <w:sz w:val="21"/>
              </w:rPr>
            </w:pPr>
          </w:p>
          <w:p>
            <w:pPr>
              <w:pStyle w:val="6"/>
              <w:spacing w:before="20" w:line="46" w:lineRule="exact"/>
              <w:ind w:left="1152"/>
              <w:rPr>
                <w:sz w:val="6"/>
                <w:szCs w:val="6"/>
              </w:rPr>
            </w:pPr>
            <w:r>
              <w:rPr>
                <w:position w:val="-1"/>
                <w:sz w:val="6"/>
                <w:szCs w:val="6"/>
              </w:rPr>
              <w:t>一</w:t>
            </w:r>
          </w:p>
        </w:tc>
        <w:tc>
          <w:tcPr>
            <w:tcW w:w="1712" w:type="dxa"/>
            <w:vAlign w:val="top"/>
          </w:tcPr>
          <w:p>
            <w:pPr>
              <w:pStyle w:val="6"/>
              <w:spacing w:before="89" w:line="231" w:lineRule="auto"/>
              <w:ind w:left="77" w:right="90" w:firstLine="9"/>
            </w:pPr>
            <w:r>
              <w:rPr>
                <w:spacing w:val="-1"/>
              </w:rPr>
              <w:t>应大于或等于设计所</w:t>
            </w:r>
            <w:r>
              <w:rPr>
                <w:spacing w:val="2"/>
              </w:rPr>
              <w:t>需防护冷却时间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752" w:type="dxa"/>
            <w:vAlign w:val="top"/>
          </w:tcPr>
          <w:p>
            <w:pPr>
              <w:pStyle w:val="6"/>
              <w:spacing w:before="203" w:line="219" w:lineRule="auto"/>
              <w:ind w:left="274"/>
            </w:pPr>
            <w:r>
              <w:rPr>
                <w:spacing w:val="-1"/>
              </w:rPr>
              <w:t>用于防火分隔时</w:t>
            </w:r>
          </w:p>
        </w:tc>
        <w:tc>
          <w:tcPr>
            <w:tcW w:w="2385" w:type="dxa"/>
            <w:vAlign w:val="top"/>
          </w:tcPr>
          <w:p>
            <w:pPr>
              <w:spacing w:line="255" w:lineRule="auto"/>
              <w:rPr>
                <w:rFonts w:ascii="Arial"/>
                <w:sz w:val="21"/>
              </w:rPr>
            </w:pPr>
          </w:p>
          <w:p>
            <w:pPr>
              <w:pStyle w:val="6"/>
              <w:spacing w:before="20" w:line="46" w:lineRule="exact"/>
              <w:ind w:left="1152"/>
              <w:rPr>
                <w:sz w:val="6"/>
                <w:szCs w:val="6"/>
              </w:rPr>
            </w:pPr>
            <w:r>
              <w:rPr>
                <w:position w:val="-1"/>
                <w:sz w:val="6"/>
                <w:szCs w:val="6"/>
              </w:rPr>
              <w:t>一</w:t>
            </w:r>
          </w:p>
        </w:tc>
        <w:tc>
          <w:tcPr>
            <w:tcW w:w="1712" w:type="dxa"/>
            <w:vAlign w:val="top"/>
          </w:tcPr>
          <w:p>
            <w:pPr>
              <w:pStyle w:val="6"/>
              <w:spacing w:before="93" w:line="230" w:lineRule="auto"/>
              <w:ind w:left="87" w:right="67"/>
            </w:pPr>
            <w:r>
              <w:rPr>
                <w:spacing w:val="-1"/>
              </w:rPr>
              <w:t>应大于或等于防火分</w:t>
            </w:r>
            <w:r>
              <w:rPr>
                <w:spacing w:val="1"/>
              </w:rPr>
              <w:t>隔处的设计耐火时间</w:t>
            </w:r>
          </w:p>
        </w:tc>
      </w:tr>
    </w:tbl>
    <w:p>
      <w:pPr>
        <w:pStyle w:val="2"/>
        <w:spacing w:line="105" w:lineRule="exact"/>
        <w:rPr>
          <w:sz w:val="9"/>
        </w:rPr>
      </w:pPr>
    </w:p>
    <w:p>
      <w:pPr>
        <w:spacing w:line="105" w:lineRule="exact"/>
        <w:rPr>
          <w:sz w:val="9"/>
          <w:szCs w:val="9"/>
        </w:rPr>
        <w:sectPr>
          <w:footerReference r:id="rId45" w:type="default"/>
          <w:pgSz w:w="8280" w:h="11850"/>
          <w:pgMar w:top="400" w:right="1193" w:bottom="1350" w:left="1200" w:header="0" w:footer="1077" w:gutter="0"/>
          <w:cols w:space="720" w:num="1"/>
        </w:sectPr>
      </w:pPr>
    </w:p>
    <w:p>
      <w:pPr>
        <w:spacing w:line="67" w:lineRule="exact"/>
      </w:pPr>
    </w:p>
    <w:tbl>
      <w:tblPr>
        <w:tblStyle w:val="5"/>
        <w:tblW w:w="580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2"/>
        <w:gridCol w:w="2385"/>
        <w:gridCol w:w="1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742" w:type="dxa"/>
            <w:vAlign w:val="top"/>
          </w:tcPr>
          <w:p>
            <w:pPr>
              <w:pStyle w:val="6"/>
              <w:spacing w:before="72" w:line="219" w:lineRule="auto"/>
              <w:ind w:left="355"/>
            </w:pPr>
            <w:r>
              <w:rPr>
                <w:spacing w:val="1"/>
              </w:rPr>
              <w:t>灭火系统类型</w:t>
            </w:r>
          </w:p>
        </w:tc>
        <w:tc>
          <w:tcPr>
            <w:tcW w:w="2385" w:type="dxa"/>
            <w:vAlign w:val="top"/>
          </w:tcPr>
          <w:p>
            <w:pPr>
              <w:pStyle w:val="6"/>
              <w:spacing w:before="70" w:line="220" w:lineRule="auto"/>
              <w:ind w:left="765"/>
            </w:pPr>
            <w:r>
              <w:rPr>
                <w:b/>
                <w:bCs/>
                <w:spacing w:val="-4"/>
              </w:rPr>
              <w:t>建筑物名称</w:t>
            </w:r>
          </w:p>
        </w:tc>
        <w:tc>
          <w:tcPr>
            <w:tcW w:w="1682" w:type="dxa"/>
            <w:vAlign w:val="top"/>
          </w:tcPr>
          <w:p>
            <w:pPr>
              <w:pStyle w:val="6"/>
              <w:spacing w:before="72" w:line="219" w:lineRule="auto"/>
              <w:ind w:left="108"/>
            </w:pPr>
            <w:r>
              <w:rPr>
                <w:spacing w:val="5"/>
              </w:rPr>
              <w:t>持续喷水时间(</w:t>
            </w:r>
            <w:r>
              <w:t>min</w:t>
            </w:r>
            <w:r>
              <w:rPr>
                <w:spacing w:val="5"/>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7" w:hRule="atLeast"/>
        </w:trPr>
        <w:tc>
          <w:tcPr>
            <w:tcW w:w="1742" w:type="dxa"/>
            <w:vMerge w:val="restart"/>
            <w:tcBorders>
              <w:bottom w:val="nil"/>
            </w:tcBorders>
            <w:vAlign w:val="top"/>
          </w:tcPr>
          <w:p>
            <w:pPr>
              <w:spacing w:line="242"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55" w:line="219" w:lineRule="auto"/>
              <w:ind w:left="185"/>
            </w:pPr>
            <w:r>
              <w:t>自动喷水灭火系统</w:t>
            </w:r>
          </w:p>
        </w:tc>
        <w:tc>
          <w:tcPr>
            <w:tcW w:w="2385" w:type="dxa"/>
            <w:vAlign w:val="top"/>
          </w:tcPr>
          <w:p>
            <w:pPr>
              <w:pStyle w:val="6"/>
              <w:spacing w:before="87" w:line="235" w:lineRule="auto"/>
              <w:ind w:left="92" w:right="96" w:firstLine="29"/>
              <w:jc w:val="both"/>
            </w:pPr>
            <w:r>
              <w:rPr>
                <w:spacing w:val="-1"/>
              </w:rPr>
              <w:t>A:仓库危险I级、最大储物高</w:t>
            </w:r>
            <w:r>
              <w:rPr>
                <w:spacing w:val="4"/>
              </w:rPr>
              <w:t>度不超过3.50m的仓库危险Ⅱ</w:t>
            </w:r>
            <w:r>
              <w:rPr>
                <w:spacing w:val="-2"/>
              </w:rPr>
              <w:t>级的超级市场</w:t>
            </w:r>
          </w:p>
        </w:tc>
        <w:tc>
          <w:tcPr>
            <w:tcW w:w="1682" w:type="dxa"/>
            <w:vAlign w:val="top"/>
          </w:tcPr>
          <w:p>
            <w:pPr>
              <w:spacing w:line="267" w:lineRule="auto"/>
              <w:rPr>
                <w:rFonts w:ascii="Arial"/>
                <w:sz w:val="21"/>
              </w:rPr>
            </w:pPr>
          </w:p>
          <w:p>
            <w:pPr>
              <w:pStyle w:val="6"/>
              <w:spacing w:before="55"/>
              <w:ind w:left="747"/>
            </w:pPr>
            <w:r>
              <w:rPr>
                <w:spacing w:val="-2"/>
              </w:rPr>
              <w:t>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742" w:type="dxa"/>
            <w:vMerge w:val="continue"/>
            <w:tcBorders>
              <w:top w:val="nil"/>
              <w:bottom w:val="nil"/>
            </w:tcBorders>
            <w:vAlign w:val="top"/>
          </w:tcPr>
          <w:p>
            <w:pPr>
              <w:rPr>
                <w:rFonts w:ascii="Arial"/>
                <w:sz w:val="21"/>
              </w:rPr>
            </w:pPr>
          </w:p>
        </w:tc>
        <w:tc>
          <w:tcPr>
            <w:tcW w:w="2385" w:type="dxa"/>
            <w:vAlign w:val="top"/>
          </w:tcPr>
          <w:p>
            <w:pPr>
              <w:pStyle w:val="6"/>
              <w:spacing w:before="131" w:line="219" w:lineRule="auto"/>
              <w:ind w:left="92" w:right="129" w:firstLine="29"/>
            </w:pPr>
            <w:r>
              <w:rPr>
                <w:spacing w:val="-1"/>
              </w:rPr>
              <w:t>B:最大储物超过3.50m的仓库危险Ⅱ级的超级市场</w:t>
            </w:r>
          </w:p>
        </w:tc>
        <w:tc>
          <w:tcPr>
            <w:tcW w:w="1682" w:type="dxa"/>
            <w:vAlign w:val="top"/>
          </w:tcPr>
          <w:p>
            <w:pPr>
              <w:pStyle w:val="6"/>
              <w:spacing w:before="247"/>
              <w:ind w:left="707"/>
            </w:pPr>
            <w:r>
              <w:rPr>
                <w:spacing w:val="-5"/>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1742" w:type="dxa"/>
            <w:vMerge w:val="continue"/>
            <w:tcBorders>
              <w:top w:val="nil"/>
            </w:tcBorders>
            <w:vAlign w:val="top"/>
          </w:tcPr>
          <w:p>
            <w:pPr>
              <w:rPr>
                <w:rFonts w:ascii="Arial"/>
                <w:sz w:val="21"/>
              </w:rPr>
            </w:pPr>
          </w:p>
        </w:tc>
        <w:tc>
          <w:tcPr>
            <w:tcW w:w="2385" w:type="dxa"/>
            <w:vAlign w:val="top"/>
          </w:tcPr>
          <w:p>
            <w:pPr>
              <w:pStyle w:val="6"/>
              <w:spacing w:before="73" w:line="219" w:lineRule="auto"/>
              <w:ind w:left="162"/>
            </w:pPr>
            <w:r>
              <w:rPr>
                <w:spacing w:val="-1"/>
              </w:rPr>
              <w:t>C:除A和B外的其他民用建筑</w:t>
            </w:r>
          </w:p>
        </w:tc>
        <w:tc>
          <w:tcPr>
            <w:tcW w:w="1682" w:type="dxa"/>
            <w:vAlign w:val="top"/>
          </w:tcPr>
          <w:p>
            <w:pPr>
              <w:pStyle w:val="6"/>
              <w:spacing w:before="89" w:line="227" w:lineRule="auto"/>
              <w:ind w:left="747"/>
            </w:pPr>
            <w:r>
              <w:rPr>
                <w:spacing w:val="-2"/>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742" w:type="dxa"/>
            <w:vAlign w:val="top"/>
          </w:tcPr>
          <w:p>
            <w:pPr>
              <w:pStyle w:val="6"/>
              <w:spacing w:before="94" w:line="219" w:lineRule="auto"/>
              <w:ind w:left="355"/>
            </w:pPr>
            <w:r>
              <w:rPr>
                <w:spacing w:val="-2"/>
              </w:rPr>
              <w:t>局部应用系统</w:t>
            </w:r>
          </w:p>
        </w:tc>
        <w:tc>
          <w:tcPr>
            <w:tcW w:w="2385" w:type="dxa"/>
            <w:vAlign w:val="top"/>
          </w:tcPr>
          <w:p>
            <w:pPr>
              <w:pStyle w:val="6"/>
              <w:spacing w:before="174" w:line="132" w:lineRule="exact"/>
              <w:ind w:left="1102"/>
            </w:pPr>
            <w:r>
              <w:rPr>
                <w:position w:val="-3"/>
              </w:rPr>
              <w:t>一</w:t>
            </w:r>
          </w:p>
        </w:tc>
        <w:tc>
          <w:tcPr>
            <w:tcW w:w="1682" w:type="dxa"/>
            <w:vAlign w:val="top"/>
          </w:tcPr>
          <w:p>
            <w:pPr>
              <w:pStyle w:val="6"/>
              <w:spacing w:before="110"/>
              <w:ind w:left="747"/>
            </w:pPr>
            <w:r>
              <w:rPr>
                <w:spacing w:val="-3"/>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742" w:type="dxa"/>
            <w:vAlign w:val="top"/>
          </w:tcPr>
          <w:p>
            <w:pPr>
              <w:pStyle w:val="6"/>
              <w:spacing w:before="94" w:line="219" w:lineRule="auto"/>
              <w:ind w:left="14"/>
            </w:pPr>
            <w:r>
              <w:rPr>
                <w:spacing w:val="-1"/>
              </w:rPr>
              <w:t>简易自动喷水灭火系统</w:t>
            </w:r>
          </w:p>
        </w:tc>
        <w:tc>
          <w:tcPr>
            <w:tcW w:w="2385" w:type="dxa"/>
            <w:vAlign w:val="top"/>
          </w:tcPr>
          <w:p>
            <w:pPr>
              <w:pStyle w:val="6"/>
              <w:spacing w:before="176" w:line="132" w:lineRule="exact"/>
              <w:ind w:left="1102"/>
            </w:pPr>
            <w:r>
              <w:rPr>
                <w:position w:val="-3"/>
              </w:rPr>
              <w:t>一</w:t>
            </w:r>
          </w:p>
        </w:tc>
        <w:tc>
          <w:tcPr>
            <w:tcW w:w="1682" w:type="dxa"/>
            <w:vAlign w:val="top"/>
          </w:tcPr>
          <w:p>
            <w:pPr>
              <w:pStyle w:val="6"/>
              <w:spacing w:before="112"/>
              <w:ind w:left="747"/>
            </w:pPr>
            <w:r>
              <w:rPr>
                <w:spacing w:val="-5"/>
              </w:rPr>
              <w:t>10</w:t>
            </w:r>
          </w:p>
        </w:tc>
      </w:tr>
    </w:tbl>
    <w:p>
      <w:pPr>
        <w:spacing w:before="203" w:line="219" w:lineRule="auto"/>
        <w:ind w:left="3"/>
        <w:rPr>
          <w:rFonts w:ascii="宋体" w:hAnsi="宋体" w:eastAsia="宋体" w:cs="宋体"/>
          <w:sz w:val="21"/>
          <w:szCs w:val="21"/>
        </w:rPr>
      </w:pPr>
      <w:r>
        <w:rPr>
          <w:rFonts w:ascii="宋体" w:hAnsi="宋体" w:eastAsia="宋体" w:cs="宋体"/>
          <w:b/>
          <w:bCs/>
          <w:spacing w:val="-2"/>
          <w:sz w:val="21"/>
          <w:szCs w:val="21"/>
        </w:rPr>
        <w:t>6.1.9</w:t>
      </w:r>
      <w:r>
        <w:rPr>
          <w:rFonts w:ascii="宋体" w:hAnsi="宋体" w:eastAsia="宋体" w:cs="宋体"/>
          <w:spacing w:val="-2"/>
          <w:sz w:val="21"/>
          <w:szCs w:val="21"/>
        </w:rPr>
        <w:t>自动喷水灭火系统的设计应符合下列规定：</w:t>
      </w:r>
    </w:p>
    <w:p>
      <w:pPr>
        <w:spacing w:before="59" w:line="274" w:lineRule="auto"/>
        <w:ind w:right="96" w:firstLine="413"/>
        <w:rPr>
          <w:rFonts w:ascii="宋体" w:hAnsi="宋体" w:eastAsia="宋体" w:cs="宋体"/>
          <w:sz w:val="21"/>
          <w:szCs w:val="21"/>
        </w:rPr>
      </w:pPr>
      <w:r>
        <w:rPr>
          <w:rFonts w:ascii="宋体" w:hAnsi="宋体" w:eastAsia="宋体" w:cs="宋体"/>
          <w:b/>
          <w:bCs/>
          <w:spacing w:val="-6"/>
          <w:sz w:val="21"/>
          <w:szCs w:val="21"/>
        </w:rPr>
        <w:t>1</w:t>
      </w:r>
      <w:r>
        <w:rPr>
          <w:rFonts w:ascii="宋体" w:hAnsi="宋体" w:eastAsia="宋体" w:cs="宋体"/>
          <w:spacing w:val="-6"/>
          <w:sz w:val="21"/>
          <w:szCs w:val="21"/>
        </w:rPr>
        <w:t>湿式系统、单连锁预作用系统的喷水强度和作用面积，应</w:t>
      </w:r>
      <w:r>
        <w:rPr>
          <w:rFonts w:ascii="宋体" w:hAnsi="宋体" w:eastAsia="宋体" w:cs="宋体"/>
          <w:spacing w:val="4"/>
          <w:sz w:val="21"/>
          <w:szCs w:val="21"/>
        </w:rPr>
        <w:t>按本标准表6.1.4中的规定值确定。</w:t>
      </w:r>
    </w:p>
    <w:p>
      <w:pPr>
        <w:spacing w:before="7" w:line="272" w:lineRule="auto"/>
        <w:ind w:right="20" w:firstLine="413"/>
        <w:rPr>
          <w:rFonts w:ascii="宋体" w:hAnsi="宋体" w:eastAsia="宋体" w:cs="宋体"/>
          <w:sz w:val="21"/>
          <w:szCs w:val="21"/>
        </w:rPr>
      </w:pPr>
      <w:r>
        <w:rPr>
          <w:rFonts w:ascii="宋体" w:hAnsi="宋体" w:eastAsia="宋体" w:cs="宋体"/>
          <w:b/>
          <w:bCs/>
          <w:spacing w:val="-5"/>
          <w:sz w:val="21"/>
          <w:szCs w:val="21"/>
        </w:rPr>
        <w:t>2</w:t>
      </w:r>
      <w:r>
        <w:rPr>
          <w:rFonts w:ascii="宋体" w:hAnsi="宋体" w:eastAsia="宋体" w:cs="宋体"/>
          <w:spacing w:val="-5"/>
          <w:sz w:val="21"/>
          <w:szCs w:val="21"/>
        </w:rPr>
        <w:t>干式系统、双连锁预作用系统的喷水强度，应按本标</w:t>
      </w:r>
      <w:r>
        <w:rPr>
          <w:rFonts w:ascii="宋体" w:hAnsi="宋体" w:eastAsia="宋体" w:cs="宋体"/>
          <w:spacing w:val="-6"/>
          <w:sz w:val="21"/>
          <w:szCs w:val="21"/>
        </w:rPr>
        <w:t>准表</w:t>
      </w:r>
      <w:r>
        <w:rPr>
          <w:rFonts w:ascii="宋体" w:hAnsi="宋体" w:eastAsia="宋体" w:cs="宋体"/>
          <w:sz w:val="21"/>
          <w:szCs w:val="21"/>
        </w:rPr>
        <w:t>6.1.4中的规定值确定，系统作用面积应按对应值的1.3倍确定。</w:t>
      </w:r>
    </w:p>
    <w:p>
      <w:pPr>
        <w:spacing w:before="2" w:line="272" w:lineRule="auto"/>
        <w:ind w:right="97" w:firstLine="413"/>
        <w:jc w:val="both"/>
        <w:rPr>
          <w:rFonts w:ascii="宋体" w:hAnsi="宋体" w:eastAsia="宋体" w:cs="宋体"/>
          <w:sz w:val="21"/>
          <w:szCs w:val="21"/>
        </w:rPr>
      </w:pPr>
      <w:r>
        <w:rPr>
          <w:rFonts w:ascii="宋体" w:hAnsi="宋体" w:eastAsia="宋体" w:cs="宋体"/>
          <w:b/>
          <w:bCs/>
          <w:spacing w:val="5"/>
          <w:sz w:val="21"/>
          <w:szCs w:val="21"/>
        </w:rPr>
        <w:t>3</w:t>
      </w:r>
      <w:r>
        <w:rPr>
          <w:rFonts w:ascii="宋体" w:hAnsi="宋体" w:eastAsia="宋体" w:cs="宋体"/>
          <w:spacing w:val="5"/>
          <w:sz w:val="21"/>
          <w:szCs w:val="21"/>
        </w:rPr>
        <w:t>雨淋系统的喷水强度和作用面积，应按本标准表6.1.4</w:t>
      </w:r>
      <w:r>
        <w:rPr>
          <w:rFonts w:ascii="宋体" w:hAnsi="宋体" w:eastAsia="宋体" w:cs="宋体"/>
          <w:spacing w:val="-3"/>
          <w:sz w:val="21"/>
          <w:szCs w:val="21"/>
        </w:rPr>
        <w:t>中的规定值确定，且每个雨淋报警阀控制的喷水面积不宜大丁表</w:t>
      </w:r>
      <w:r>
        <w:rPr>
          <w:rFonts w:ascii="宋体" w:hAnsi="宋体" w:eastAsia="宋体" w:cs="宋体"/>
          <w:spacing w:val="2"/>
          <w:sz w:val="21"/>
          <w:szCs w:val="21"/>
        </w:rPr>
        <w:t>6.1.4中的作用面积。</w:t>
      </w:r>
    </w:p>
    <w:p>
      <w:pPr>
        <w:spacing w:before="1" w:line="272" w:lineRule="auto"/>
        <w:ind w:right="88" w:firstLine="413"/>
        <w:jc w:val="both"/>
        <w:rPr>
          <w:rFonts w:ascii="宋体" w:hAnsi="宋体" w:eastAsia="宋体" w:cs="宋体"/>
          <w:sz w:val="21"/>
          <w:szCs w:val="21"/>
        </w:rPr>
      </w:pPr>
      <w:r>
        <w:rPr>
          <w:rFonts w:ascii="宋体" w:hAnsi="宋体" w:eastAsia="宋体" w:cs="宋体"/>
          <w:b/>
          <w:bCs/>
          <w:spacing w:val="-6"/>
          <w:sz w:val="21"/>
          <w:szCs w:val="21"/>
        </w:rPr>
        <w:t>4</w:t>
      </w:r>
      <w:r>
        <w:rPr>
          <w:rFonts w:ascii="宋体" w:hAnsi="宋体" w:eastAsia="宋体" w:cs="宋体"/>
          <w:spacing w:val="-6"/>
          <w:sz w:val="21"/>
          <w:szCs w:val="21"/>
        </w:rPr>
        <w:t>装设网格、栅板类通透性吊顶的场所，净空高度小于或等</w:t>
      </w:r>
      <w:r>
        <w:rPr>
          <w:rFonts w:ascii="宋体" w:hAnsi="宋体" w:eastAsia="宋体" w:cs="宋体"/>
          <w:spacing w:val="8"/>
          <w:sz w:val="21"/>
          <w:szCs w:val="21"/>
        </w:rPr>
        <w:t>于8</w:t>
      </w:r>
      <w:r>
        <w:rPr>
          <w:rFonts w:ascii="Times New Roman" w:hAnsi="Times New Roman" w:eastAsia="Times New Roman" w:cs="Times New Roman"/>
          <w:spacing w:val="8"/>
          <w:sz w:val="21"/>
          <w:szCs w:val="21"/>
        </w:rPr>
        <w:t>m</w:t>
      </w:r>
      <w:r>
        <w:rPr>
          <w:rFonts w:ascii="宋体" w:hAnsi="宋体" w:eastAsia="宋体" w:cs="宋体"/>
          <w:spacing w:val="8"/>
          <w:sz w:val="21"/>
          <w:szCs w:val="21"/>
        </w:rPr>
        <w:t>时，系统的喷水强度应按本标准表6.1.4中的规定值的</w:t>
      </w:r>
      <w:r>
        <w:rPr>
          <w:rFonts w:ascii="宋体" w:hAnsi="宋体" w:eastAsia="宋体" w:cs="宋体"/>
          <w:spacing w:val="1"/>
          <w:sz w:val="21"/>
          <w:szCs w:val="21"/>
        </w:rPr>
        <w:t>1.3倍确定。</w:t>
      </w:r>
    </w:p>
    <w:p>
      <w:pPr>
        <w:spacing w:before="3" w:line="259" w:lineRule="auto"/>
        <w:ind w:right="80"/>
        <w:rPr>
          <w:rFonts w:ascii="宋体" w:hAnsi="宋体" w:eastAsia="宋体" w:cs="宋体"/>
          <w:sz w:val="21"/>
          <w:szCs w:val="21"/>
        </w:rPr>
      </w:pPr>
      <w:r>
        <w:rPr>
          <w:rFonts w:ascii="宋体" w:hAnsi="宋体" w:eastAsia="宋体" w:cs="宋体"/>
          <w:spacing w:val="-5"/>
          <w:sz w:val="21"/>
          <w:szCs w:val="21"/>
        </w:rPr>
        <w:t>6.1.10干式系统、预作用系统、雨淋系统、自动喷水-泡沫联用</w:t>
      </w:r>
      <w:r>
        <w:rPr>
          <w:rFonts w:ascii="宋体" w:hAnsi="宋体" w:eastAsia="宋体" w:cs="宋体"/>
          <w:spacing w:val="-2"/>
          <w:sz w:val="21"/>
          <w:szCs w:val="21"/>
        </w:rPr>
        <w:t>系统、水喷雾系统，可串联接在同一建筑物内湿</w:t>
      </w:r>
      <w:r>
        <w:rPr>
          <w:rFonts w:ascii="宋体" w:hAnsi="宋体" w:eastAsia="宋体" w:cs="宋体"/>
          <w:spacing w:val="-3"/>
          <w:sz w:val="21"/>
          <w:szCs w:val="21"/>
        </w:rPr>
        <w:t>式系统的配水干</w:t>
      </w:r>
      <w:r>
        <w:rPr>
          <w:rFonts w:ascii="宋体" w:hAnsi="宋体" w:eastAsia="宋体" w:cs="宋体"/>
          <w:spacing w:val="-2"/>
          <w:sz w:val="21"/>
          <w:szCs w:val="21"/>
        </w:rPr>
        <w:t>管上。但各系统应分别设置独立的报警阀组，其</w:t>
      </w:r>
      <w:r>
        <w:rPr>
          <w:rFonts w:ascii="宋体" w:hAnsi="宋体" w:eastAsia="宋体" w:cs="宋体"/>
          <w:spacing w:val="-3"/>
          <w:sz w:val="21"/>
          <w:szCs w:val="21"/>
        </w:rPr>
        <w:t>控制的喷头数计入湿式报警阀组控制的洒水喷头总数。</w:t>
      </w:r>
    </w:p>
    <w:p>
      <w:pPr>
        <w:spacing w:before="71" w:line="259" w:lineRule="auto"/>
        <w:rPr>
          <w:rFonts w:ascii="宋体" w:hAnsi="宋体" w:eastAsia="宋体" w:cs="宋体"/>
          <w:sz w:val="21"/>
          <w:szCs w:val="21"/>
        </w:rPr>
      </w:pPr>
      <w:r>
        <w:rPr>
          <w:rFonts w:ascii="宋体" w:hAnsi="宋体" w:eastAsia="宋体" w:cs="宋体"/>
          <w:spacing w:val="6"/>
          <w:sz w:val="21"/>
          <w:szCs w:val="21"/>
        </w:rPr>
        <w:t>6.1.11每个报警阀组控制的最不利点洒水喷头处应设末端试</w:t>
      </w:r>
      <w:r>
        <w:rPr>
          <w:rFonts w:ascii="宋体" w:hAnsi="宋体" w:eastAsia="宋体" w:cs="宋体"/>
          <w:spacing w:val="-2"/>
          <w:sz w:val="21"/>
          <w:szCs w:val="21"/>
        </w:rPr>
        <w:t>水装置。当满足下列条件之一时，其末端试水装置应具备实</w:t>
      </w:r>
      <w:r>
        <w:rPr>
          <w:rFonts w:ascii="宋体" w:hAnsi="宋体" w:eastAsia="宋体" w:cs="宋体"/>
          <w:spacing w:val="-3"/>
          <w:sz w:val="21"/>
          <w:szCs w:val="21"/>
        </w:rPr>
        <w:t>时显</w:t>
      </w:r>
      <w:r>
        <w:rPr>
          <w:rFonts w:ascii="宋体" w:hAnsi="宋体" w:eastAsia="宋体" w:cs="宋体"/>
          <w:spacing w:val="1"/>
          <w:sz w:val="21"/>
          <w:szCs w:val="21"/>
        </w:rPr>
        <w:t>示自动喷水灭火系统末端压力，并可自动或手动检验系统启动、</w:t>
      </w:r>
      <w:r>
        <w:rPr>
          <w:rFonts w:ascii="宋体" w:hAnsi="宋体" w:eastAsia="宋体" w:cs="宋体"/>
          <w:spacing w:val="-6"/>
          <w:sz w:val="21"/>
          <w:szCs w:val="21"/>
        </w:rPr>
        <w:t>报警及联动等功能：</w:t>
      </w:r>
    </w:p>
    <w:p>
      <w:pPr>
        <w:spacing w:line="259" w:lineRule="auto"/>
        <w:rPr>
          <w:rFonts w:ascii="宋体" w:hAnsi="宋体" w:eastAsia="宋体" w:cs="宋体"/>
          <w:sz w:val="21"/>
          <w:szCs w:val="21"/>
        </w:rPr>
        <w:sectPr>
          <w:headerReference r:id="rId46" w:type="default"/>
          <w:footerReference r:id="rId47" w:type="default"/>
          <w:pgSz w:w="8280" w:h="11850"/>
          <w:pgMar w:top="1497" w:right="1134" w:bottom="1360" w:left="1229" w:header="1251" w:footer="1087" w:gutter="0"/>
          <w:cols w:space="720" w:num="1"/>
        </w:sectPr>
      </w:pPr>
    </w:p>
    <w:p>
      <w:pPr>
        <w:pStyle w:val="2"/>
        <w:spacing w:line="308" w:lineRule="auto"/>
      </w:pPr>
    </w:p>
    <w:p>
      <w:pPr>
        <w:pStyle w:val="2"/>
        <w:spacing w:line="308" w:lineRule="auto"/>
      </w:pPr>
    </w:p>
    <w:p>
      <w:pPr>
        <w:pStyle w:val="2"/>
        <w:spacing w:line="308" w:lineRule="auto"/>
      </w:pPr>
    </w:p>
    <w:p>
      <w:pPr>
        <w:spacing w:before="69" w:line="219" w:lineRule="auto"/>
        <w:ind w:left="419"/>
        <w:rPr>
          <w:rFonts w:ascii="宋体" w:hAnsi="宋体" w:eastAsia="宋体" w:cs="宋体"/>
          <w:sz w:val="21"/>
          <w:szCs w:val="21"/>
        </w:rPr>
      </w:pPr>
      <w:r>
        <w:rPr>
          <w:rFonts w:ascii="宋体" w:hAnsi="宋体" w:eastAsia="宋体" w:cs="宋体"/>
          <w:spacing w:val="-6"/>
          <w:sz w:val="21"/>
          <w:szCs w:val="21"/>
        </w:rPr>
        <w:t>1城市综合体。</w:t>
      </w:r>
    </w:p>
    <w:p>
      <w:pPr>
        <w:spacing w:before="50" w:line="219" w:lineRule="auto"/>
        <w:ind w:left="419"/>
        <w:rPr>
          <w:rFonts w:ascii="宋体" w:hAnsi="宋体" w:eastAsia="宋体" w:cs="宋体"/>
          <w:sz w:val="21"/>
          <w:szCs w:val="21"/>
        </w:rPr>
      </w:pPr>
      <w:r>
        <w:rPr>
          <w:rFonts w:ascii="宋体" w:hAnsi="宋体" w:eastAsia="宋体" w:cs="宋体"/>
          <w:sz w:val="21"/>
          <w:szCs w:val="21"/>
        </w:rPr>
        <w:t>2建筑高度超过100m的公共建筑。</w:t>
      </w:r>
    </w:p>
    <w:p>
      <w:pPr>
        <w:spacing w:before="81" w:line="220" w:lineRule="auto"/>
        <w:ind w:left="419"/>
        <w:rPr>
          <w:rFonts w:ascii="宋体" w:hAnsi="宋体" w:eastAsia="宋体" w:cs="宋体"/>
          <w:sz w:val="21"/>
          <w:szCs w:val="21"/>
        </w:rPr>
      </w:pPr>
      <w:r>
        <w:rPr>
          <w:rFonts w:ascii="宋体" w:hAnsi="宋体" w:eastAsia="宋体" w:cs="宋体"/>
          <w:sz w:val="21"/>
          <w:szCs w:val="21"/>
        </w:rPr>
        <w:t>3其他设置消防设施物联网系统的建筑(场所)。</w:t>
      </w:r>
    </w:p>
    <w:p>
      <w:pPr>
        <w:pStyle w:val="2"/>
        <w:spacing w:line="297" w:lineRule="auto"/>
      </w:pPr>
    </w:p>
    <w:p>
      <w:pPr>
        <w:spacing w:before="68" w:line="221" w:lineRule="auto"/>
        <w:ind w:left="2293"/>
        <w:outlineLvl w:val="1"/>
        <w:rPr>
          <w:rFonts w:ascii="宋体" w:hAnsi="宋体" w:eastAsia="宋体" w:cs="宋体"/>
          <w:sz w:val="21"/>
          <w:szCs w:val="21"/>
        </w:rPr>
      </w:pPr>
      <w:bookmarkStart w:id="36" w:name="bookmark24"/>
      <w:bookmarkEnd w:id="36"/>
      <w:r>
        <w:rPr>
          <w:rFonts w:ascii="宋体" w:hAnsi="宋体" w:eastAsia="宋体" w:cs="宋体"/>
          <w:b/>
          <w:bCs/>
          <w:spacing w:val="-4"/>
          <w:sz w:val="21"/>
          <w:szCs w:val="21"/>
        </w:rPr>
        <w:t>6.2设置要求</w:t>
      </w:r>
    </w:p>
    <w:p>
      <w:pPr>
        <w:pStyle w:val="2"/>
        <w:spacing w:line="310" w:lineRule="auto"/>
      </w:pPr>
    </w:p>
    <w:p>
      <w:pPr>
        <w:spacing w:before="68" w:line="282" w:lineRule="auto"/>
        <w:ind w:right="79"/>
        <w:jc w:val="both"/>
        <w:rPr>
          <w:rFonts w:ascii="宋体" w:hAnsi="宋体" w:eastAsia="宋体" w:cs="宋体"/>
          <w:sz w:val="21"/>
          <w:szCs w:val="21"/>
        </w:rPr>
      </w:pPr>
      <w:r>
        <w:rPr>
          <w:rFonts w:ascii="宋体" w:hAnsi="宋体" w:eastAsia="宋体" w:cs="宋体"/>
          <w:spacing w:val="3"/>
          <w:sz w:val="21"/>
          <w:szCs w:val="21"/>
        </w:rPr>
        <w:t>6.2.1室内机械式汽车库和堆垛式汽车</w:t>
      </w:r>
      <w:r>
        <w:rPr>
          <w:rFonts w:ascii="宋体" w:hAnsi="宋体" w:eastAsia="宋体" w:cs="宋体"/>
          <w:spacing w:val="2"/>
          <w:sz w:val="21"/>
          <w:szCs w:val="21"/>
        </w:rPr>
        <w:t>库自动喷水灭火系统应</w:t>
      </w:r>
      <w:r>
        <w:rPr>
          <w:rFonts w:ascii="宋体" w:hAnsi="宋体" w:eastAsia="宋体" w:cs="宋体"/>
          <w:spacing w:val="-1"/>
          <w:sz w:val="21"/>
          <w:szCs w:val="21"/>
        </w:rPr>
        <w:t>按照中危险Ⅱ级设计，设计流量可按照现行国家标准《自动喷水</w:t>
      </w:r>
      <w:r>
        <w:rPr>
          <w:rFonts w:ascii="宋体" w:hAnsi="宋体" w:eastAsia="宋体" w:cs="宋体"/>
          <w:spacing w:val="5"/>
          <w:sz w:val="21"/>
          <w:szCs w:val="21"/>
        </w:rPr>
        <w:t>灭火系统设计规范》</w:t>
      </w:r>
      <w:r>
        <w:rPr>
          <w:rFonts w:ascii="宋体" w:hAnsi="宋体" w:eastAsia="宋体" w:cs="宋体"/>
          <w:sz w:val="21"/>
          <w:szCs w:val="21"/>
        </w:rPr>
        <w:t>GB</w:t>
      </w:r>
      <w:r>
        <w:rPr>
          <w:rFonts w:ascii="宋体" w:hAnsi="宋体" w:eastAsia="宋体" w:cs="宋体"/>
          <w:spacing w:val="5"/>
          <w:sz w:val="21"/>
          <w:szCs w:val="21"/>
        </w:rPr>
        <w:t>50084中货架层间隔板为实层板的内置</w:t>
      </w:r>
      <w:r>
        <w:rPr>
          <w:rFonts w:ascii="宋体" w:hAnsi="宋体" w:eastAsia="宋体" w:cs="宋体"/>
          <w:sz w:val="21"/>
          <w:szCs w:val="21"/>
        </w:rPr>
        <w:t>洒水喷头设置规定。车架内喷头应采用带挡水板的</w:t>
      </w:r>
      <w:r>
        <w:rPr>
          <w:rFonts w:ascii="宋体" w:hAnsi="宋体" w:eastAsia="宋体" w:cs="宋体"/>
          <w:spacing w:val="-1"/>
          <w:sz w:val="21"/>
          <w:szCs w:val="21"/>
        </w:rPr>
        <w:t>边墙型喷头。</w:t>
      </w:r>
    </w:p>
    <w:p>
      <w:pPr>
        <w:spacing w:before="6" w:line="246" w:lineRule="auto"/>
        <w:ind w:right="95" w:firstLine="419"/>
        <w:rPr>
          <w:rFonts w:ascii="宋体" w:hAnsi="宋体" w:eastAsia="宋体" w:cs="宋体"/>
          <w:sz w:val="21"/>
          <w:szCs w:val="21"/>
        </w:rPr>
      </w:pPr>
      <w:r>
        <w:rPr>
          <w:rFonts w:ascii="宋体" w:hAnsi="宋体" w:eastAsia="宋体" w:cs="宋体"/>
          <w:spacing w:val="7"/>
          <w:sz w:val="21"/>
          <w:szCs w:val="21"/>
        </w:rPr>
        <w:t>1当仅有1层车架内喷头时，计算车架内喷头的数量可取</w:t>
      </w:r>
      <w:r>
        <w:rPr>
          <w:rFonts w:ascii="宋体" w:hAnsi="宋体" w:eastAsia="宋体" w:cs="宋体"/>
          <w:spacing w:val="13"/>
          <w:sz w:val="21"/>
          <w:szCs w:val="21"/>
        </w:rPr>
        <w:t>8个。</w:t>
      </w:r>
    </w:p>
    <w:p>
      <w:pPr>
        <w:spacing w:before="60" w:line="255" w:lineRule="auto"/>
        <w:ind w:right="96" w:firstLine="419"/>
        <w:rPr>
          <w:rFonts w:ascii="宋体" w:hAnsi="宋体" w:eastAsia="宋体" w:cs="宋体"/>
          <w:sz w:val="21"/>
          <w:szCs w:val="21"/>
        </w:rPr>
      </w:pPr>
      <w:r>
        <w:rPr>
          <w:rFonts w:ascii="宋体" w:hAnsi="宋体" w:eastAsia="宋体" w:cs="宋体"/>
          <w:spacing w:val="7"/>
          <w:sz w:val="21"/>
          <w:szCs w:val="21"/>
        </w:rPr>
        <w:t>2当为2层及以上车架内喷头时，计算车架内喷头的数量</w:t>
      </w:r>
      <w:r>
        <w:rPr>
          <w:rFonts w:ascii="宋体" w:hAnsi="宋体" w:eastAsia="宋体" w:cs="宋体"/>
          <w:spacing w:val="14"/>
          <w:sz w:val="21"/>
          <w:szCs w:val="21"/>
        </w:rPr>
        <w:t>可取14个。</w:t>
      </w:r>
    </w:p>
    <w:p>
      <w:pPr>
        <w:spacing w:before="60" w:line="255" w:lineRule="auto"/>
        <w:ind w:right="65" w:firstLine="419"/>
        <w:rPr>
          <w:rFonts w:ascii="宋体" w:hAnsi="宋体" w:eastAsia="宋体" w:cs="宋体"/>
          <w:sz w:val="21"/>
          <w:szCs w:val="21"/>
        </w:rPr>
      </w:pPr>
      <w:r>
        <w:rPr>
          <w:rFonts w:ascii="宋体" w:hAnsi="宋体" w:eastAsia="宋体" w:cs="宋体"/>
          <w:spacing w:val="20"/>
          <w:sz w:val="21"/>
          <w:szCs w:val="21"/>
        </w:rPr>
        <w:t>3巷道堆垛式机械车库，计算车架内喷头的</w:t>
      </w:r>
      <w:r>
        <w:rPr>
          <w:rFonts w:ascii="宋体" w:hAnsi="宋体" w:eastAsia="宋体" w:cs="宋体"/>
          <w:spacing w:val="19"/>
          <w:sz w:val="21"/>
          <w:szCs w:val="21"/>
        </w:rPr>
        <w:t>数量可取</w:t>
      </w:r>
      <w:r>
        <w:rPr>
          <w:rFonts w:ascii="宋体" w:hAnsi="宋体" w:eastAsia="宋体" w:cs="宋体"/>
          <w:spacing w:val="6"/>
          <w:sz w:val="21"/>
          <w:szCs w:val="21"/>
        </w:rPr>
        <w:t>14个。</w:t>
      </w:r>
    </w:p>
    <w:p>
      <w:pPr>
        <w:spacing w:before="49" w:line="261" w:lineRule="auto"/>
        <w:rPr>
          <w:rFonts w:ascii="宋体" w:hAnsi="宋体" w:eastAsia="宋体" w:cs="宋体"/>
          <w:sz w:val="21"/>
          <w:szCs w:val="21"/>
        </w:rPr>
      </w:pPr>
      <w:r>
        <w:rPr>
          <w:rFonts w:ascii="宋体" w:hAnsi="宋体" w:eastAsia="宋体" w:cs="宋体"/>
          <w:spacing w:val="6"/>
          <w:sz w:val="21"/>
          <w:szCs w:val="21"/>
        </w:rPr>
        <w:t>6.2.2地下汽车库直通室外的汽车坡道上设置有防火卷帘时，</w:t>
      </w:r>
      <w:r>
        <w:rPr>
          <w:rFonts w:ascii="宋体" w:hAnsi="宋体" w:eastAsia="宋体" w:cs="宋体"/>
          <w:spacing w:val="-1"/>
          <w:sz w:val="21"/>
          <w:szCs w:val="21"/>
        </w:rPr>
        <w:t>防火卷帘之外的坡道上可不设置自动喷水灭火系统；当坡道上无</w:t>
      </w:r>
      <w:r>
        <w:rPr>
          <w:rFonts w:ascii="宋体" w:hAnsi="宋体" w:eastAsia="宋体" w:cs="宋体"/>
          <w:spacing w:val="-6"/>
          <w:sz w:val="21"/>
          <w:szCs w:val="21"/>
        </w:rPr>
        <w:t>卷帘时，汽车坡道的有顶区域应设置喷头。</w:t>
      </w:r>
    </w:p>
    <w:p>
      <w:pPr>
        <w:spacing w:before="60" w:line="255" w:lineRule="auto"/>
        <w:ind w:right="89" w:firstLine="3"/>
        <w:rPr>
          <w:rFonts w:ascii="宋体" w:hAnsi="宋体" w:eastAsia="宋体" w:cs="宋体"/>
          <w:sz w:val="21"/>
          <w:szCs w:val="21"/>
        </w:rPr>
      </w:pPr>
      <w:r>
        <w:rPr>
          <w:rFonts w:ascii="宋体" w:hAnsi="宋体" w:eastAsia="宋体" w:cs="宋体"/>
          <w:b/>
          <w:bCs/>
          <w:spacing w:val="2"/>
          <w:sz w:val="21"/>
          <w:szCs w:val="21"/>
        </w:rPr>
        <w:t>6.2.3</w:t>
      </w:r>
      <w:r>
        <w:rPr>
          <w:rFonts w:ascii="宋体" w:hAnsi="宋体" w:eastAsia="宋体" w:cs="宋体"/>
          <w:spacing w:val="2"/>
          <w:sz w:val="21"/>
          <w:szCs w:val="21"/>
        </w:rPr>
        <w:t>排烟风机与其他排风、空调设备合用的机房应设置自动</w:t>
      </w:r>
      <w:r>
        <w:rPr>
          <w:rFonts w:ascii="宋体" w:hAnsi="宋体" w:eastAsia="宋体" w:cs="宋体"/>
          <w:spacing w:val="-2"/>
          <w:sz w:val="21"/>
          <w:szCs w:val="21"/>
        </w:rPr>
        <w:t>喷水灭火系统。</w:t>
      </w:r>
    </w:p>
    <w:p>
      <w:pPr>
        <w:spacing w:before="57" w:line="252" w:lineRule="auto"/>
        <w:ind w:right="180"/>
        <w:rPr>
          <w:rFonts w:ascii="宋体" w:hAnsi="宋体" w:eastAsia="宋体" w:cs="宋体"/>
          <w:sz w:val="21"/>
          <w:szCs w:val="21"/>
        </w:rPr>
      </w:pPr>
      <w:r>
        <w:rPr>
          <w:rFonts w:ascii="Times New Roman" w:hAnsi="Times New Roman" w:eastAsia="Times New Roman" w:cs="Times New Roman"/>
          <w:b/>
          <w:bCs/>
          <w:spacing w:val="7"/>
          <w:sz w:val="21"/>
          <w:szCs w:val="21"/>
        </w:rPr>
        <w:t>6.2.4</w:t>
      </w:r>
      <w:r>
        <w:rPr>
          <w:rFonts w:ascii="宋体" w:hAnsi="宋体" w:eastAsia="宋体" w:cs="宋体"/>
          <w:spacing w:val="7"/>
          <w:sz w:val="21"/>
          <w:szCs w:val="21"/>
        </w:rPr>
        <w:t>闭式喷头使用场所的室内最大净高高度不应大于18</w:t>
      </w:r>
      <w:r>
        <w:rPr>
          <w:rFonts w:ascii="Times New Roman" w:hAnsi="Times New Roman" w:eastAsia="Times New Roman" w:cs="Times New Roman"/>
          <w:spacing w:val="7"/>
          <w:sz w:val="21"/>
          <w:szCs w:val="21"/>
        </w:rPr>
        <w:t>m,</w:t>
      </w:r>
      <w:r>
        <w:rPr>
          <w:rFonts w:ascii="宋体" w:hAnsi="宋体" w:eastAsia="宋体" w:cs="宋体"/>
          <w:spacing w:val="-1"/>
          <w:sz w:val="21"/>
          <w:szCs w:val="21"/>
        </w:rPr>
        <w:t>仅用于保护室内钢屋架等建筑构件的喷头设置高度可不限。</w:t>
      </w:r>
    </w:p>
    <w:p>
      <w:pPr>
        <w:spacing w:before="71" w:line="243" w:lineRule="auto"/>
        <w:ind w:right="92" w:firstLine="3"/>
        <w:rPr>
          <w:rFonts w:ascii="宋体" w:hAnsi="宋体" w:eastAsia="宋体" w:cs="宋体"/>
          <w:sz w:val="21"/>
          <w:szCs w:val="21"/>
        </w:rPr>
      </w:pPr>
      <w:r>
        <w:rPr>
          <w:rFonts w:ascii="宋体" w:hAnsi="宋体" w:eastAsia="宋体" w:cs="宋体"/>
          <w:b/>
          <w:bCs/>
          <w:spacing w:val="2"/>
          <w:sz w:val="21"/>
          <w:szCs w:val="21"/>
        </w:rPr>
        <w:t>6.2.5</w:t>
      </w:r>
      <w:r>
        <w:rPr>
          <w:rFonts w:ascii="宋体" w:hAnsi="宋体" w:eastAsia="宋体" w:cs="宋体"/>
          <w:spacing w:val="2"/>
          <w:sz w:val="21"/>
          <w:szCs w:val="21"/>
        </w:rPr>
        <w:t>闭式系统的喷头，其公称动作温度宜高于环境最高温度</w:t>
      </w:r>
      <w:r>
        <w:rPr>
          <w:rFonts w:ascii="宋体" w:hAnsi="宋体" w:eastAsia="宋体" w:cs="宋体"/>
          <w:spacing w:val="-2"/>
          <w:sz w:val="21"/>
          <w:szCs w:val="21"/>
        </w:rPr>
        <w:t>30℃,并应按照下列要求选用：</w:t>
      </w:r>
    </w:p>
    <w:p>
      <w:pPr>
        <w:spacing w:before="65" w:line="251" w:lineRule="auto"/>
        <w:ind w:right="95" w:firstLine="419"/>
        <w:rPr>
          <w:rFonts w:ascii="宋体" w:hAnsi="宋体" w:eastAsia="宋体" w:cs="宋体"/>
          <w:sz w:val="21"/>
          <w:szCs w:val="21"/>
        </w:rPr>
      </w:pPr>
      <w:r>
        <w:rPr>
          <w:rFonts w:ascii="宋体" w:hAnsi="宋体" w:eastAsia="宋体" w:cs="宋体"/>
          <w:spacing w:val="10"/>
          <w:sz w:val="21"/>
          <w:szCs w:val="21"/>
        </w:rPr>
        <w:t>1一般室内宜采用公称动作温度为68℃(玻璃球)或72℃</w:t>
      </w:r>
      <w:r>
        <w:rPr>
          <w:rFonts w:ascii="宋体" w:hAnsi="宋体" w:eastAsia="宋体" w:cs="宋体"/>
          <w:spacing w:val="-4"/>
          <w:sz w:val="21"/>
          <w:szCs w:val="21"/>
        </w:rPr>
        <w:t>(易熔金属)的喷头。</w:t>
      </w:r>
    </w:p>
    <w:p>
      <w:pPr>
        <w:spacing w:before="60" w:line="255" w:lineRule="auto"/>
        <w:ind w:right="66" w:firstLine="419"/>
        <w:rPr>
          <w:rFonts w:ascii="宋体" w:hAnsi="宋体" w:eastAsia="宋体" w:cs="宋体"/>
          <w:sz w:val="21"/>
          <w:szCs w:val="21"/>
        </w:rPr>
      </w:pPr>
      <w:r>
        <w:rPr>
          <w:rFonts w:ascii="宋体" w:hAnsi="宋体" w:eastAsia="宋体" w:cs="宋体"/>
          <w:spacing w:val="-11"/>
          <w:sz w:val="21"/>
          <w:szCs w:val="21"/>
        </w:rPr>
        <w:t>2厨房、蒸汽洗衣房、锅炉房、热交换机房、直燃机房等宜采</w:t>
      </w:r>
      <w:r>
        <w:rPr>
          <w:rFonts w:ascii="宋体" w:hAnsi="宋体" w:eastAsia="宋体" w:cs="宋体"/>
          <w:spacing w:val="1"/>
          <w:sz w:val="21"/>
          <w:szCs w:val="21"/>
        </w:rPr>
        <w:t>用公称动作温度为93℃的喷头。</w:t>
      </w:r>
    </w:p>
    <w:p>
      <w:pPr>
        <w:spacing w:line="255" w:lineRule="auto"/>
        <w:rPr>
          <w:rFonts w:ascii="宋体" w:hAnsi="宋体" w:eastAsia="宋体" w:cs="宋体"/>
          <w:sz w:val="21"/>
          <w:szCs w:val="21"/>
        </w:rPr>
        <w:sectPr>
          <w:headerReference r:id="rId48" w:type="default"/>
          <w:footerReference r:id="rId49" w:type="default"/>
          <w:pgSz w:w="8280" w:h="11850"/>
          <w:pgMar w:top="400" w:right="1135" w:bottom="1260" w:left="1190" w:header="0" w:footer="987" w:gutter="0"/>
          <w:cols w:space="720" w:num="1"/>
        </w:sectPr>
      </w:pPr>
    </w:p>
    <w:p>
      <w:pPr>
        <w:pStyle w:val="2"/>
        <w:spacing w:line="292" w:lineRule="auto"/>
      </w:pPr>
    </w:p>
    <w:p>
      <w:pPr>
        <w:pStyle w:val="2"/>
        <w:spacing w:line="292" w:lineRule="auto"/>
      </w:pPr>
    </w:p>
    <w:p>
      <w:pPr>
        <w:pStyle w:val="2"/>
        <w:spacing w:line="293" w:lineRule="auto"/>
      </w:pPr>
    </w:p>
    <w:p>
      <w:pPr>
        <w:spacing w:before="65" w:line="253" w:lineRule="auto"/>
        <w:ind w:right="13" w:firstLine="429"/>
        <w:rPr>
          <w:rFonts w:ascii="宋体" w:hAnsi="宋体" w:eastAsia="宋体" w:cs="宋体"/>
          <w:sz w:val="20"/>
          <w:szCs w:val="20"/>
        </w:rPr>
      </w:pPr>
      <w:r>
        <w:rPr>
          <w:rFonts w:ascii="宋体" w:hAnsi="宋体" w:eastAsia="宋体" w:cs="宋体"/>
          <w:spacing w:val="23"/>
          <w:sz w:val="20"/>
          <w:szCs w:val="20"/>
        </w:rPr>
        <w:t>3钢屋架和玻璃顶棚下宜采用公称动作温度为141℃的</w:t>
      </w:r>
      <w:r>
        <w:rPr>
          <w:rFonts w:ascii="宋体" w:hAnsi="宋体" w:eastAsia="宋体" w:cs="宋体"/>
          <w:spacing w:val="-1"/>
          <w:sz w:val="20"/>
          <w:szCs w:val="20"/>
        </w:rPr>
        <w:t>喷头。</w:t>
      </w:r>
    </w:p>
    <w:p>
      <w:pPr>
        <w:spacing w:before="81" w:line="258" w:lineRule="auto"/>
        <w:ind w:right="12" w:firstLine="429"/>
        <w:rPr>
          <w:rFonts w:ascii="宋体" w:hAnsi="宋体" w:eastAsia="宋体" w:cs="宋体"/>
          <w:sz w:val="20"/>
          <w:szCs w:val="20"/>
        </w:rPr>
      </w:pPr>
      <w:r>
        <w:rPr>
          <w:rFonts w:ascii="宋体" w:hAnsi="宋体" w:eastAsia="宋体" w:cs="宋体"/>
          <w:spacing w:val="11"/>
          <w:sz w:val="20"/>
          <w:szCs w:val="20"/>
        </w:rPr>
        <w:t>4车库入口附近宜采用公称动作温度为72℃(易熔金属)的</w:t>
      </w:r>
      <w:r>
        <w:rPr>
          <w:rFonts w:ascii="宋体" w:hAnsi="宋体" w:eastAsia="宋体" w:cs="宋体"/>
          <w:spacing w:val="-1"/>
          <w:sz w:val="20"/>
          <w:szCs w:val="20"/>
        </w:rPr>
        <w:t>喷头。</w:t>
      </w:r>
    </w:p>
    <w:p>
      <w:pPr>
        <w:spacing w:before="71" w:line="219" w:lineRule="auto"/>
        <w:rPr>
          <w:rFonts w:ascii="宋体" w:hAnsi="宋体" w:eastAsia="宋体" w:cs="宋体"/>
          <w:sz w:val="20"/>
          <w:szCs w:val="20"/>
        </w:rPr>
      </w:pPr>
      <w:r>
        <w:rPr>
          <w:rFonts w:ascii="宋体" w:hAnsi="宋体" w:eastAsia="宋体" w:cs="宋体"/>
          <w:spacing w:val="4"/>
          <w:sz w:val="20"/>
          <w:szCs w:val="20"/>
        </w:rPr>
        <w:t>6.2.6下列场所应采用快速响应喷头：</w:t>
      </w:r>
    </w:p>
    <w:p>
      <w:pPr>
        <w:spacing w:before="84" w:line="219" w:lineRule="auto"/>
        <w:ind w:left="429"/>
        <w:rPr>
          <w:rFonts w:ascii="宋体" w:hAnsi="宋体" w:eastAsia="宋体" w:cs="宋体"/>
          <w:sz w:val="20"/>
          <w:szCs w:val="20"/>
        </w:rPr>
      </w:pPr>
      <w:r>
        <w:rPr>
          <w:rFonts w:ascii="宋体" w:hAnsi="宋体" w:eastAsia="宋体" w:cs="宋体"/>
          <w:spacing w:val="-1"/>
          <w:sz w:val="20"/>
          <w:szCs w:val="20"/>
        </w:rPr>
        <w:t>1公共娱乐场所、中庭环廊。</w:t>
      </w:r>
    </w:p>
    <w:p>
      <w:pPr>
        <w:spacing w:before="81" w:line="253" w:lineRule="auto"/>
        <w:ind w:right="20" w:firstLine="429"/>
        <w:rPr>
          <w:rFonts w:ascii="宋体" w:hAnsi="宋体" w:eastAsia="宋体" w:cs="宋体"/>
          <w:sz w:val="20"/>
          <w:szCs w:val="20"/>
        </w:rPr>
      </w:pPr>
      <w:r>
        <w:rPr>
          <w:rFonts w:ascii="宋体" w:hAnsi="宋体" w:eastAsia="宋体" w:cs="宋体"/>
          <w:spacing w:val="4"/>
          <w:sz w:val="20"/>
          <w:szCs w:val="20"/>
        </w:rPr>
        <w:t>2医院、疗养院、儿童活动场所、老年人照料设施和残疾人</w:t>
      </w:r>
      <w:r>
        <w:rPr>
          <w:rFonts w:ascii="宋体" w:hAnsi="宋体" w:eastAsia="宋体" w:cs="宋体"/>
          <w:spacing w:val="7"/>
          <w:sz w:val="20"/>
          <w:szCs w:val="20"/>
        </w:rPr>
        <w:t>康复训练设施。</w:t>
      </w:r>
    </w:p>
    <w:p>
      <w:pPr>
        <w:spacing w:before="82" w:line="219" w:lineRule="auto"/>
        <w:ind w:left="429"/>
        <w:rPr>
          <w:rFonts w:ascii="宋体" w:hAnsi="宋体" w:eastAsia="宋体" w:cs="宋体"/>
          <w:sz w:val="20"/>
          <w:szCs w:val="20"/>
        </w:rPr>
      </w:pPr>
      <w:r>
        <w:rPr>
          <w:rFonts w:ascii="宋体" w:hAnsi="宋体" w:eastAsia="宋体" w:cs="宋体"/>
          <w:spacing w:val="12"/>
          <w:sz w:val="20"/>
          <w:szCs w:val="20"/>
        </w:rPr>
        <w:t>3建筑高度大于50m的楼层。</w:t>
      </w:r>
    </w:p>
    <w:p>
      <w:pPr>
        <w:spacing w:before="92" w:line="219" w:lineRule="auto"/>
        <w:ind w:left="429"/>
        <w:rPr>
          <w:rFonts w:ascii="宋体" w:hAnsi="宋体" w:eastAsia="宋体" w:cs="宋体"/>
          <w:sz w:val="20"/>
          <w:szCs w:val="20"/>
        </w:rPr>
      </w:pPr>
      <w:r>
        <w:rPr>
          <w:rFonts w:ascii="宋体" w:hAnsi="宋体" w:eastAsia="宋体" w:cs="宋体"/>
          <w:spacing w:val="6"/>
          <w:sz w:val="20"/>
          <w:szCs w:val="20"/>
        </w:rPr>
        <w:t>4建筑高度大于100m的公共建筑，其高层主体内。</w:t>
      </w:r>
    </w:p>
    <w:p>
      <w:pPr>
        <w:spacing w:before="62" w:line="259" w:lineRule="auto"/>
        <w:ind w:right="20" w:firstLine="429"/>
        <w:rPr>
          <w:rFonts w:ascii="宋体" w:hAnsi="宋体" w:eastAsia="宋体" w:cs="宋体"/>
          <w:sz w:val="20"/>
          <w:szCs w:val="20"/>
        </w:rPr>
      </w:pPr>
      <w:r>
        <w:rPr>
          <w:rFonts w:ascii="Times New Roman" w:hAnsi="Times New Roman" w:eastAsia="Times New Roman" w:cs="Times New Roman"/>
          <w:spacing w:val="19"/>
          <w:sz w:val="20"/>
          <w:szCs w:val="20"/>
        </w:rPr>
        <w:t>5</w:t>
      </w:r>
      <w:r>
        <w:rPr>
          <w:rFonts w:ascii="宋体" w:hAnsi="宋体" w:eastAsia="宋体" w:cs="宋体"/>
          <w:spacing w:val="19"/>
          <w:sz w:val="20"/>
          <w:szCs w:val="20"/>
        </w:rPr>
        <w:t>建筑高度大于250</w:t>
      </w:r>
      <w:r>
        <w:rPr>
          <w:rFonts w:ascii="Times New Roman" w:hAnsi="Times New Roman" w:eastAsia="Times New Roman" w:cs="Times New Roman"/>
          <w:spacing w:val="19"/>
          <w:sz w:val="20"/>
          <w:szCs w:val="20"/>
        </w:rPr>
        <w:t>m</w:t>
      </w:r>
      <w:r>
        <w:rPr>
          <w:rFonts w:ascii="宋体" w:hAnsi="宋体" w:eastAsia="宋体" w:cs="宋体"/>
          <w:spacing w:val="19"/>
          <w:sz w:val="20"/>
          <w:szCs w:val="20"/>
        </w:rPr>
        <w:t>的超高层建筑及其投影范围的地</w:t>
      </w:r>
      <w:r>
        <w:rPr>
          <w:rFonts w:ascii="宋体" w:hAnsi="宋体" w:eastAsia="宋体" w:cs="宋体"/>
          <w:spacing w:val="-1"/>
          <w:sz w:val="20"/>
          <w:szCs w:val="20"/>
        </w:rPr>
        <w:t>下室。</w:t>
      </w:r>
    </w:p>
    <w:p>
      <w:pPr>
        <w:spacing w:before="70" w:line="220" w:lineRule="auto"/>
        <w:ind w:left="429"/>
        <w:rPr>
          <w:rFonts w:ascii="宋体" w:hAnsi="宋体" w:eastAsia="宋体" w:cs="宋体"/>
          <w:sz w:val="20"/>
          <w:szCs w:val="20"/>
        </w:rPr>
      </w:pPr>
      <w:r>
        <w:rPr>
          <w:rFonts w:ascii="宋体" w:hAnsi="宋体" w:eastAsia="宋体" w:cs="宋体"/>
          <w:spacing w:val="2"/>
          <w:sz w:val="20"/>
          <w:szCs w:val="20"/>
        </w:rPr>
        <w:t>6地下商业、民用建筑中配套的仓储用房。</w:t>
      </w:r>
    </w:p>
    <w:p>
      <w:pPr>
        <w:spacing w:before="82" w:line="219" w:lineRule="auto"/>
        <w:ind w:left="429"/>
        <w:rPr>
          <w:rFonts w:ascii="宋体" w:hAnsi="宋体" w:eastAsia="宋体" w:cs="宋体"/>
          <w:sz w:val="20"/>
          <w:szCs w:val="20"/>
        </w:rPr>
      </w:pPr>
      <w:r>
        <w:rPr>
          <w:rFonts w:ascii="宋体" w:hAnsi="宋体" w:eastAsia="宋体" w:cs="宋体"/>
          <w:spacing w:val="4"/>
          <w:sz w:val="20"/>
          <w:szCs w:val="20"/>
        </w:rPr>
        <w:t>7高大净空场所。</w:t>
      </w:r>
    </w:p>
    <w:p>
      <w:pPr>
        <w:spacing w:before="72" w:line="219" w:lineRule="auto"/>
        <w:ind w:left="429"/>
        <w:rPr>
          <w:rFonts w:ascii="宋体" w:hAnsi="宋体" w:eastAsia="宋体" w:cs="宋体"/>
          <w:sz w:val="20"/>
          <w:szCs w:val="20"/>
        </w:rPr>
      </w:pPr>
      <w:r>
        <w:rPr>
          <w:rFonts w:ascii="宋体" w:hAnsi="宋体" w:eastAsia="宋体" w:cs="宋体"/>
          <w:spacing w:val="-4"/>
          <w:sz w:val="20"/>
          <w:szCs w:val="20"/>
        </w:rPr>
        <w:t>8剧院、体育馆、音乐厅、电影院等人</w:t>
      </w:r>
      <w:r>
        <w:rPr>
          <w:rFonts w:ascii="宋体" w:hAnsi="宋体" w:eastAsia="宋体" w:cs="宋体"/>
          <w:spacing w:val="-5"/>
          <w:sz w:val="20"/>
          <w:szCs w:val="20"/>
        </w:rPr>
        <w:t>员密集场所。</w:t>
      </w:r>
    </w:p>
    <w:p>
      <w:pPr>
        <w:spacing w:before="83" w:line="219" w:lineRule="auto"/>
        <w:ind w:left="429"/>
        <w:rPr>
          <w:rFonts w:ascii="宋体" w:hAnsi="宋体" w:eastAsia="宋体" w:cs="宋体"/>
          <w:sz w:val="20"/>
          <w:szCs w:val="20"/>
        </w:rPr>
      </w:pPr>
      <w:r>
        <w:rPr>
          <w:rFonts w:ascii="宋体" w:hAnsi="宋体" w:eastAsia="宋体" w:cs="宋体"/>
          <w:spacing w:val="7"/>
          <w:sz w:val="20"/>
          <w:szCs w:val="20"/>
        </w:rPr>
        <w:t>9文物建筑和优秀历史建筑。</w:t>
      </w:r>
    </w:p>
    <w:p>
      <w:pPr>
        <w:spacing w:before="83" w:line="219" w:lineRule="auto"/>
        <w:ind w:left="429"/>
        <w:rPr>
          <w:rFonts w:ascii="宋体" w:hAnsi="宋体" w:eastAsia="宋体" w:cs="宋体"/>
          <w:sz w:val="20"/>
          <w:szCs w:val="20"/>
        </w:rPr>
      </w:pPr>
      <w:r>
        <w:rPr>
          <w:rFonts w:ascii="宋体" w:hAnsi="宋体" w:eastAsia="宋体" w:cs="宋体"/>
          <w:sz w:val="20"/>
          <w:szCs w:val="20"/>
        </w:rPr>
        <w:t>10电动车防火单元、电动自行车停车库。</w:t>
      </w:r>
    </w:p>
    <w:p>
      <w:pPr>
        <w:spacing w:before="81" w:line="219" w:lineRule="auto"/>
        <w:ind w:left="429"/>
        <w:rPr>
          <w:rFonts w:ascii="宋体" w:hAnsi="宋体" w:eastAsia="宋体" w:cs="宋体"/>
          <w:sz w:val="20"/>
          <w:szCs w:val="20"/>
        </w:rPr>
      </w:pPr>
      <w:r>
        <w:rPr>
          <w:rFonts w:ascii="宋体" w:hAnsi="宋体" w:eastAsia="宋体" w:cs="宋体"/>
          <w:spacing w:val="6"/>
          <w:sz w:val="20"/>
          <w:szCs w:val="20"/>
        </w:rPr>
        <w:t>11采用局部应用系统的场所。</w:t>
      </w:r>
    </w:p>
    <w:p>
      <w:pPr>
        <w:spacing w:before="73" w:line="219" w:lineRule="auto"/>
        <w:ind w:left="429"/>
        <w:rPr>
          <w:rFonts w:ascii="宋体" w:hAnsi="宋体" w:eastAsia="宋体" w:cs="宋体"/>
          <w:sz w:val="20"/>
          <w:szCs w:val="20"/>
        </w:rPr>
      </w:pPr>
      <w:r>
        <w:rPr>
          <w:rFonts w:ascii="宋体" w:hAnsi="宋体" w:eastAsia="宋体" w:cs="宋体"/>
          <w:spacing w:val="5"/>
          <w:sz w:val="20"/>
          <w:szCs w:val="20"/>
        </w:rPr>
        <w:t>12采用简易自动喷水灭火系统的场所。</w:t>
      </w:r>
    </w:p>
    <w:p>
      <w:pPr>
        <w:spacing w:before="74" w:line="219" w:lineRule="auto"/>
        <w:rPr>
          <w:rFonts w:ascii="宋体" w:hAnsi="宋体" w:eastAsia="宋体" w:cs="宋体"/>
          <w:sz w:val="20"/>
          <w:szCs w:val="20"/>
        </w:rPr>
      </w:pPr>
      <w:r>
        <w:rPr>
          <w:rFonts w:ascii="宋体" w:hAnsi="宋体" w:eastAsia="宋体" w:cs="宋体"/>
          <w:spacing w:val="-2"/>
          <w:sz w:val="20"/>
          <w:szCs w:val="20"/>
        </w:rPr>
        <w:t>6.2.7自动水灭火系统报警阀出口的工作压力不应大于1.60MPa。</w:t>
      </w:r>
    </w:p>
    <w:p>
      <w:pPr>
        <w:spacing w:before="83" w:line="254" w:lineRule="auto"/>
        <w:ind w:right="9"/>
        <w:rPr>
          <w:rFonts w:ascii="宋体" w:hAnsi="宋体" w:eastAsia="宋体" w:cs="宋体"/>
          <w:sz w:val="20"/>
          <w:szCs w:val="20"/>
        </w:rPr>
      </w:pPr>
      <w:r>
        <w:rPr>
          <w:rFonts w:ascii="宋体" w:hAnsi="宋体" w:eastAsia="宋体" w:cs="宋体"/>
          <w:spacing w:val="10"/>
          <w:sz w:val="20"/>
          <w:szCs w:val="20"/>
        </w:rPr>
        <w:t>6.2.8流量开关启动消防泵的设定值，宜为一个喷头流量</w:t>
      </w:r>
      <w:r>
        <w:rPr>
          <w:rFonts w:ascii="宋体" w:hAnsi="宋体" w:eastAsia="宋体" w:cs="宋体"/>
          <w:spacing w:val="9"/>
          <w:sz w:val="20"/>
          <w:szCs w:val="20"/>
        </w:rPr>
        <w:t>与系</w:t>
      </w:r>
      <w:r>
        <w:rPr>
          <w:rFonts w:ascii="宋体" w:hAnsi="宋体" w:eastAsia="宋体" w:cs="宋体"/>
          <w:spacing w:val="7"/>
          <w:sz w:val="20"/>
          <w:szCs w:val="20"/>
        </w:rPr>
        <w:t>统漏失量之和。</w:t>
      </w:r>
    </w:p>
    <w:p>
      <w:pPr>
        <w:spacing w:before="89" w:line="264" w:lineRule="auto"/>
        <w:rPr>
          <w:rFonts w:ascii="宋体" w:hAnsi="宋体" w:eastAsia="宋体" w:cs="宋体"/>
          <w:sz w:val="20"/>
          <w:szCs w:val="20"/>
        </w:rPr>
      </w:pPr>
      <w:r>
        <w:rPr>
          <w:rFonts w:ascii="宋体" w:hAnsi="宋体" w:eastAsia="宋体" w:cs="宋体"/>
          <w:spacing w:val="15"/>
          <w:sz w:val="20"/>
          <w:szCs w:val="20"/>
        </w:rPr>
        <w:t>6.2.9符合本标准第3.2.1条第3款</w:t>
      </w:r>
      <w:r>
        <w:rPr>
          <w:rFonts w:ascii="宋体" w:hAnsi="宋体" w:eastAsia="宋体" w:cs="宋体"/>
          <w:spacing w:val="14"/>
          <w:sz w:val="20"/>
          <w:szCs w:val="20"/>
        </w:rPr>
        <w:t>的住宅建筑，其每层公共</w:t>
      </w:r>
      <w:r>
        <w:rPr>
          <w:rFonts w:ascii="宋体" w:hAnsi="宋体" w:eastAsia="宋体" w:cs="宋体"/>
          <w:spacing w:val="12"/>
          <w:sz w:val="20"/>
          <w:szCs w:val="20"/>
        </w:rPr>
        <w:t>部位设置的喷头数小于或等于4个时，喷淋支</w:t>
      </w:r>
      <w:r>
        <w:rPr>
          <w:rFonts w:ascii="宋体" w:hAnsi="宋体" w:eastAsia="宋体" w:cs="宋体"/>
          <w:spacing w:val="11"/>
          <w:sz w:val="20"/>
          <w:szCs w:val="20"/>
        </w:rPr>
        <w:t>管可直接从室内消</w:t>
      </w:r>
      <w:r>
        <w:rPr>
          <w:rFonts w:ascii="宋体" w:hAnsi="宋体" w:eastAsia="宋体" w:cs="宋体"/>
          <w:spacing w:val="7"/>
          <w:sz w:val="20"/>
          <w:szCs w:val="20"/>
        </w:rPr>
        <w:t>火栓系统接出。</w:t>
      </w:r>
    </w:p>
    <w:p>
      <w:pPr>
        <w:pStyle w:val="2"/>
        <w:spacing w:line="334" w:lineRule="auto"/>
      </w:pPr>
    </w:p>
    <w:p>
      <w:pPr>
        <w:spacing w:before="65" w:line="219" w:lineRule="auto"/>
        <w:ind w:left="1640"/>
        <w:outlineLvl w:val="1"/>
        <w:rPr>
          <w:rFonts w:ascii="宋体" w:hAnsi="宋体" w:eastAsia="宋体" w:cs="宋体"/>
          <w:sz w:val="20"/>
          <w:szCs w:val="20"/>
        </w:rPr>
      </w:pPr>
      <w:bookmarkStart w:id="37" w:name="bookmark25"/>
      <w:bookmarkEnd w:id="37"/>
      <w:r>
        <w:rPr>
          <w:rFonts w:ascii="宋体" w:hAnsi="宋体" w:eastAsia="宋体" w:cs="宋体"/>
          <w:spacing w:val="8"/>
          <w:sz w:val="20"/>
          <w:szCs w:val="20"/>
        </w:rPr>
        <w:t>6.3简易自动喷水灭火系统</w:t>
      </w:r>
    </w:p>
    <w:p>
      <w:pPr>
        <w:pStyle w:val="2"/>
        <w:spacing w:line="325" w:lineRule="auto"/>
      </w:pPr>
    </w:p>
    <w:p>
      <w:pPr>
        <w:spacing w:before="66" w:line="219" w:lineRule="auto"/>
        <w:rPr>
          <w:rFonts w:ascii="宋体" w:hAnsi="宋体" w:eastAsia="宋体" w:cs="宋体"/>
          <w:sz w:val="20"/>
          <w:szCs w:val="20"/>
        </w:rPr>
      </w:pPr>
      <w:r>
        <w:rPr>
          <w:rFonts w:ascii="宋体" w:hAnsi="宋体" w:eastAsia="宋体" w:cs="宋体"/>
          <w:spacing w:val="2"/>
          <w:sz w:val="20"/>
          <w:szCs w:val="20"/>
        </w:rPr>
        <w:t>6.3.1简易自动喷水灭火系统设计参数，应按照下列规定：</w:t>
      </w:r>
    </w:p>
    <w:p>
      <w:pPr>
        <w:spacing w:line="219" w:lineRule="auto"/>
        <w:rPr>
          <w:rFonts w:ascii="宋体" w:hAnsi="宋体" w:eastAsia="宋体" w:cs="宋体"/>
          <w:sz w:val="20"/>
          <w:szCs w:val="20"/>
        </w:rPr>
        <w:sectPr>
          <w:footerReference r:id="rId50" w:type="default"/>
          <w:pgSz w:w="8280" w:h="11850"/>
          <w:pgMar w:top="400" w:right="1211" w:bottom="1357" w:left="1200" w:header="0" w:footer="1059" w:gutter="0"/>
          <w:cols w:space="720" w:num="1"/>
        </w:sectPr>
      </w:pPr>
    </w:p>
    <w:p>
      <w:pPr>
        <w:pStyle w:val="2"/>
        <w:spacing w:line="286" w:lineRule="auto"/>
      </w:pPr>
    </w:p>
    <w:p>
      <w:pPr>
        <w:pStyle w:val="2"/>
        <w:spacing w:line="287" w:lineRule="auto"/>
      </w:pPr>
    </w:p>
    <w:p>
      <w:pPr>
        <w:pStyle w:val="2"/>
        <w:spacing w:line="287" w:lineRule="auto"/>
      </w:pPr>
    </w:p>
    <w:p>
      <w:pPr>
        <w:spacing w:before="69" w:line="219" w:lineRule="auto"/>
        <w:ind w:left="423"/>
        <w:rPr>
          <w:rFonts w:ascii="宋体" w:hAnsi="宋体" w:eastAsia="宋体" w:cs="宋体"/>
          <w:sz w:val="21"/>
          <w:szCs w:val="21"/>
        </w:rPr>
      </w:pPr>
      <w:r>
        <w:rPr>
          <w:rFonts w:ascii="宋体" w:hAnsi="宋体" w:eastAsia="宋体" w:cs="宋体"/>
          <w:b/>
          <w:bCs/>
          <w:spacing w:val="1"/>
          <w:sz w:val="21"/>
          <w:szCs w:val="21"/>
        </w:rPr>
        <w:t>1设置简易自动喷水灭火系统的场所火灾危险等级按中危</w:t>
      </w:r>
    </w:p>
    <w:p>
      <w:pPr>
        <w:spacing w:before="63" w:line="219" w:lineRule="auto"/>
        <w:rPr>
          <w:rFonts w:ascii="宋体" w:hAnsi="宋体" w:eastAsia="宋体" w:cs="宋体"/>
          <w:sz w:val="21"/>
          <w:szCs w:val="21"/>
        </w:rPr>
      </w:pPr>
      <w:r>
        <w:rPr>
          <w:rFonts w:ascii="宋体" w:hAnsi="宋体" w:eastAsia="宋体" w:cs="宋体"/>
          <w:sz w:val="21"/>
          <w:szCs w:val="21"/>
        </w:rPr>
        <w:t>险级确定，其基本参数不宜低于表6.3.1的规定。</w:t>
      </w:r>
    </w:p>
    <w:p>
      <w:pPr>
        <w:spacing w:before="137" w:line="221" w:lineRule="auto"/>
        <w:ind w:left="1263"/>
        <w:rPr>
          <w:rFonts w:ascii="黑体" w:hAnsi="黑体" w:eastAsia="黑体" w:cs="黑体"/>
          <w:sz w:val="21"/>
          <w:szCs w:val="21"/>
        </w:rPr>
      </w:pPr>
      <w:r>
        <w:rPr>
          <w:rFonts w:ascii="黑体" w:hAnsi="黑体" w:eastAsia="黑体" w:cs="黑体"/>
          <w:b/>
          <w:bCs/>
          <w:spacing w:val="-22"/>
          <w:sz w:val="21"/>
          <w:szCs w:val="21"/>
        </w:rPr>
        <w:t>表6.3.1简易自动喷水灭火系统设计参数</w:t>
      </w:r>
    </w:p>
    <w:p>
      <w:pPr>
        <w:spacing w:line="69" w:lineRule="exact"/>
      </w:pPr>
    </w:p>
    <w:tbl>
      <w:tblPr>
        <w:tblStyle w:val="5"/>
        <w:tblW w:w="5869"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3"/>
        <w:gridCol w:w="1268"/>
        <w:gridCol w:w="1277"/>
        <w:gridCol w:w="1278"/>
        <w:gridCol w:w="12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03" w:type="dxa"/>
            <w:vAlign w:val="top"/>
          </w:tcPr>
          <w:p>
            <w:pPr>
              <w:pStyle w:val="6"/>
              <w:spacing w:before="232" w:line="219" w:lineRule="auto"/>
              <w:ind w:left="264"/>
            </w:pPr>
            <w:r>
              <w:rPr>
                <w:spacing w:val="-1"/>
              </w:rPr>
              <w:t>K值</w:t>
            </w:r>
          </w:p>
        </w:tc>
        <w:tc>
          <w:tcPr>
            <w:tcW w:w="1268" w:type="dxa"/>
            <w:vAlign w:val="top"/>
          </w:tcPr>
          <w:p>
            <w:pPr>
              <w:pStyle w:val="6"/>
              <w:spacing w:before="132" w:line="219" w:lineRule="auto"/>
              <w:ind w:left="281" w:right="258"/>
            </w:pPr>
            <w:r>
              <w:rPr>
                <w:spacing w:val="-3"/>
              </w:rPr>
              <w:t>最大净空</w:t>
            </w:r>
            <w:r>
              <w:rPr>
                <w:spacing w:val="6"/>
              </w:rPr>
              <w:t>高度h(m)</w:t>
            </w:r>
          </w:p>
        </w:tc>
        <w:tc>
          <w:tcPr>
            <w:tcW w:w="1277" w:type="dxa"/>
            <w:vAlign w:val="top"/>
          </w:tcPr>
          <w:p>
            <w:pPr>
              <w:pStyle w:val="6"/>
              <w:spacing w:before="112" w:line="219" w:lineRule="auto"/>
              <w:ind w:left="293"/>
            </w:pPr>
            <w:r>
              <w:rPr>
                <w:spacing w:val="2"/>
              </w:rPr>
              <w:t>喷水强度</w:t>
            </w:r>
          </w:p>
          <w:p>
            <w:pPr>
              <w:pStyle w:val="6"/>
              <w:spacing w:before="41" w:line="222" w:lineRule="auto"/>
              <w:ind w:left="33"/>
            </w:pPr>
            <w:r>
              <w:rPr>
                <w:spacing w:val="-9"/>
              </w:rPr>
              <w:t>[L/(m²·min)]</w:t>
            </w:r>
          </w:p>
        </w:tc>
        <w:tc>
          <w:tcPr>
            <w:tcW w:w="1278" w:type="dxa"/>
            <w:vAlign w:val="top"/>
          </w:tcPr>
          <w:p>
            <w:pPr>
              <w:pStyle w:val="6"/>
              <w:spacing w:before="132" w:line="219" w:lineRule="auto"/>
              <w:ind w:left="127"/>
            </w:pPr>
            <w:r>
              <w:rPr>
                <w:spacing w:val="2"/>
              </w:rPr>
              <w:t>喷头工作压力</w:t>
            </w:r>
          </w:p>
          <w:p>
            <w:pPr>
              <w:pStyle w:val="6"/>
              <w:spacing w:before="21" w:line="222" w:lineRule="auto"/>
              <w:ind w:left="416"/>
            </w:pPr>
            <w:r>
              <w:rPr>
                <w:spacing w:val="-6"/>
              </w:rPr>
              <w:t>(MPa)</w:t>
            </w:r>
          </w:p>
        </w:tc>
        <w:tc>
          <w:tcPr>
            <w:tcW w:w="1243" w:type="dxa"/>
            <w:vAlign w:val="top"/>
          </w:tcPr>
          <w:p>
            <w:pPr>
              <w:pStyle w:val="6"/>
              <w:spacing w:before="111" w:line="253" w:lineRule="auto"/>
              <w:ind w:left="58" w:right="26" w:firstLine="50"/>
            </w:pPr>
            <w:r>
              <w:rPr>
                <w:spacing w:val="-2"/>
              </w:rPr>
              <w:t>单个喷头最大</w:t>
            </w:r>
            <w:r>
              <w:rPr>
                <w:spacing w:val="15"/>
              </w:rPr>
              <w:t>保护面积(m²)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803" w:type="dxa"/>
            <w:vAlign w:val="top"/>
          </w:tcPr>
          <w:p>
            <w:pPr>
              <w:pStyle w:val="6"/>
              <w:spacing w:before="108"/>
              <w:ind w:left="304"/>
            </w:pPr>
            <w:r>
              <w:rPr>
                <w:spacing w:val="-2"/>
              </w:rPr>
              <w:t>80</w:t>
            </w:r>
          </w:p>
        </w:tc>
        <w:tc>
          <w:tcPr>
            <w:tcW w:w="1268" w:type="dxa"/>
            <w:vAlign w:val="top"/>
          </w:tcPr>
          <w:p>
            <w:pPr>
              <w:pStyle w:val="6"/>
              <w:spacing w:before="107" w:line="236" w:lineRule="auto"/>
              <w:ind w:left="451"/>
            </w:pPr>
            <w:r>
              <w:rPr>
                <w:spacing w:val="-2"/>
              </w:rPr>
              <w:t>h≤8</w:t>
            </w:r>
          </w:p>
        </w:tc>
        <w:tc>
          <w:tcPr>
            <w:tcW w:w="1277" w:type="dxa"/>
            <w:vAlign w:val="top"/>
          </w:tcPr>
          <w:p>
            <w:pPr>
              <w:pStyle w:val="6"/>
              <w:spacing w:before="108"/>
              <w:ind w:left="583"/>
            </w:pPr>
            <w:r>
              <w:t>6</w:t>
            </w:r>
          </w:p>
        </w:tc>
        <w:tc>
          <w:tcPr>
            <w:tcW w:w="1278" w:type="dxa"/>
            <w:vAlign w:val="top"/>
          </w:tcPr>
          <w:p>
            <w:pPr>
              <w:pStyle w:val="6"/>
              <w:spacing w:before="108" w:line="239" w:lineRule="auto"/>
              <w:ind w:left="466"/>
            </w:pPr>
            <w:r>
              <w:rPr>
                <w:spacing w:val="-2"/>
              </w:rPr>
              <w:t>0.10</w:t>
            </w:r>
          </w:p>
        </w:tc>
        <w:tc>
          <w:tcPr>
            <w:tcW w:w="1243" w:type="dxa"/>
            <w:vAlign w:val="top"/>
          </w:tcPr>
          <w:p>
            <w:pPr>
              <w:pStyle w:val="6"/>
              <w:spacing w:before="108"/>
              <w:ind w:left="528"/>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03" w:type="dxa"/>
            <w:vAlign w:val="top"/>
          </w:tcPr>
          <w:p>
            <w:pPr>
              <w:pStyle w:val="6"/>
              <w:spacing w:before="111"/>
              <w:ind w:left="264"/>
            </w:pPr>
            <w:r>
              <w:rPr>
                <w:spacing w:val="-5"/>
              </w:rPr>
              <w:t>115</w:t>
            </w:r>
          </w:p>
        </w:tc>
        <w:tc>
          <w:tcPr>
            <w:tcW w:w="1268" w:type="dxa"/>
            <w:vAlign w:val="top"/>
          </w:tcPr>
          <w:p>
            <w:pPr>
              <w:pStyle w:val="6"/>
              <w:spacing w:before="110" w:line="236" w:lineRule="auto"/>
              <w:ind w:left="451"/>
            </w:pPr>
            <w:r>
              <w:rPr>
                <w:spacing w:val="-2"/>
              </w:rPr>
              <w:t>h≤8</w:t>
            </w:r>
          </w:p>
        </w:tc>
        <w:tc>
          <w:tcPr>
            <w:tcW w:w="1277" w:type="dxa"/>
            <w:vAlign w:val="top"/>
          </w:tcPr>
          <w:p>
            <w:pPr>
              <w:pStyle w:val="6"/>
              <w:spacing w:before="111"/>
              <w:ind w:left="583"/>
            </w:pPr>
            <w:r>
              <w:t>9</w:t>
            </w:r>
          </w:p>
        </w:tc>
        <w:tc>
          <w:tcPr>
            <w:tcW w:w="1278" w:type="dxa"/>
            <w:vAlign w:val="top"/>
          </w:tcPr>
          <w:p>
            <w:pPr>
              <w:pStyle w:val="6"/>
              <w:spacing w:before="111" w:line="239" w:lineRule="auto"/>
              <w:ind w:left="466"/>
            </w:pPr>
            <w:r>
              <w:rPr>
                <w:spacing w:val="-2"/>
              </w:rPr>
              <w:t>0.05</w:t>
            </w:r>
          </w:p>
        </w:tc>
        <w:tc>
          <w:tcPr>
            <w:tcW w:w="1243" w:type="dxa"/>
            <w:vAlign w:val="top"/>
          </w:tcPr>
          <w:p>
            <w:pPr>
              <w:pStyle w:val="6"/>
              <w:spacing w:before="111"/>
              <w:ind w:left="528"/>
            </w:pPr>
            <w:r>
              <w:rPr>
                <w:spacing w:val="-5"/>
              </w:rPr>
              <w:t>13</w:t>
            </w:r>
          </w:p>
        </w:tc>
      </w:tr>
    </w:tbl>
    <w:p>
      <w:pPr>
        <w:spacing w:before="213" w:line="246" w:lineRule="auto"/>
        <w:ind w:right="17" w:firstLine="420"/>
        <w:rPr>
          <w:rFonts w:ascii="宋体" w:hAnsi="宋体" w:eastAsia="宋体" w:cs="宋体"/>
          <w:sz w:val="21"/>
          <w:szCs w:val="21"/>
        </w:rPr>
      </w:pPr>
      <w:r>
        <w:rPr>
          <w:rFonts w:ascii="宋体" w:hAnsi="宋体" w:eastAsia="宋体" w:cs="宋体"/>
          <w:spacing w:val="-2"/>
          <w:sz w:val="21"/>
          <w:szCs w:val="21"/>
        </w:rPr>
        <w:t>2系统可不设报警阀组，系统配水管的入口处应设过滤器、</w:t>
      </w:r>
      <w:r>
        <w:rPr>
          <w:rFonts w:ascii="宋体" w:hAnsi="宋体" w:eastAsia="宋体" w:cs="宋体"/>
          <w:spacing w:val="-1"/>
          <w:sz w:val="21"/>
          <w:szCs w:val="21"/>
        </w:rPr>
        <w:t>信号阀(或带有锁定装置的控制阀)和水流指示器。</w:t>
      </w:r>
    </w:p>
    <w:p>
      <w:pPr>
        <w:spacing w:before="59" w:line="219" w:lineRule="auto"/>
        <w:ind w:left="420"/>
        <w:rPr>
          <w:rFonts w:ascii="宋体" w:hAnsi="宋体" w:eastAsia="宋体" w:cs="宋体"/>
          <w:sz w:val="21"/>
          <w:szCs w:val="21"/>
        </w:rPr>
      </w:pPr>
      <w:r>
        <w:rPr>
          <w:rFonts w:ascii="宋体" w:hAnsi="宋体" w:eastAsia="宋体" w:cs="宋体"/>
          <w:sz w:val="21"/>
          <w:szCs w:val="21"/>
        </w:rPr>
        <w:t>3系统可采用电动警铃报警。</w:t>
      </w:r>
    </w:p>
    <w:p>
      <w:pPr>
        <w:spacing w:before="81" w:line="219" w:lineRule="auto"/>
        <w:rPr>
          <w:rFonts w:ascii="宋体" w:hAnsi="宋体" w:eastAsia="宋体" w:cs="宋体"/>
          <w:sz w:val="21"/>
          <w:szCs w:val="21"/>
        </w:rPr>
      </w:pPr>
      <w:r>
        <w:rPr>
          <w:rFonts w:ascii="宋体" w:hAnsi="宋体" w:eastAsia="宋体" w:cs="宋体"/>
          <w:sz w:val="21"/>
          <w:szCs w:val="21"/>
        </w:rPr>
        <w:t>6.3.2简易自动喷水灭火系统的作</w:t>
      </w:r>
      <w:r>
        <w:rPr>
          <w:rFonts w:ascii="宋体" w:hAnsi="宋体" w:eastAsia="宋体" w:cs="宋体"/>
          <w:spacing w:val="-1"/>
          <w:sz w:val="21"/>
          <w:szCs w:val="21"/>
        </w:rPr>
        <w:t>用面积应达到下列要求：</w:t>
      </w:r>
    </w:p>
    <w:p>
      <w:pPr>
        <w:spacing w:before="62" w:line="246" w:lineRule="auto"/>
        <w:ind w:right="118" w:firstLine="420"/>
        <w:rPr>
          <w:rFonts w:ascii="宋体" w:hAnsi="宋体" w:eastAsia="宋体" w:cs="宋体"/>
          <w:sz w:val="21"/>
          <w:szCs w:val="21"/>
        </w:rPr>
      </w:pPr>
      <w:r>
        <w:rPr>
          <w:rFonts w:ascii="宋体" w:hAnsi="宋体" w:eastAsia="宋体" w:cs="宋体"/>
          <w:spacing w:val="11"/>
          <w:sz w:val="21"/>
          <w:szCs w:val="21"/>
        </w:rPr>
        <w:t>1老式居民住宅根据设置喷头的最大单元</w:t>
      </w:r>
      <w:r>
        <w:rPr>
          <w:rFonts w:ascii="宋体" w:hAnsi="宋体" w:eastAsia="宋体" w:cs="宋体"/>
          <w:spacing w:val="10"/>
          <w:sz w:val="21"/>
          <w:szCs w:val="21"/>
        </w:rPr>
        <w:t>的作用面积确</w:t>
      </w:r>
      <w:r>
        <w:rPr>
          <w:rFonts w:ascii="宋体" w:hAnsi="宋体" w:eastAsia="宋体" w:cs="宋体"/>
          <w:spacing w:val="-2"/>
          <w:sz w:val="21"/>
          <w:szCs w:val="21"/>
        </w:rPr>
        <w:t>定，但不宜小于4个喷头的作用面积。</w:t>
      </w:r>
    </w:p>
    <w:p>
      <w:pPr>
        <w:spacing w:before="70" w:line="255" w:lineRule="auto"/>
        <w:ind w:right="92" w:firstLine="420"/>
        <w:rPr>
          <w:rFonts w:ascii="宋体" w:hAnsi="宋体" w:eastAsia="宋体" w:cs="宋体"/>
          <w:sz w:val="21"/>
          <w:szCs w:val="21"/>
        </w:rPr>
      </w:pPr>
      <w:r>
        <w:rPr>
          <w:rFonts w:ascii="宋体" w:hAnsi="宋体" w:eastAsia="宋体" w:cs="宋体"/>
          <w:spacing w:val="4"/>
          <w:sz w:val="21"/>
          <w:szCs w:val="21"/>
        </w:rPr>
        <w:t>2其他建筑根据设置喷头的最大单元的作用面积确</w:t>
      </w:r>
      <w:r>
        <w:rPr>
          <w:rFonts w:ascii="宋体" w:hAnsi="宋体" w:eastAsia="宋体" w:cs="宋体"/>
          <w:spacing w:val="3"/>
          <w:sz w:val="21"/>
          <w:szCs w:val="21"/>
        </w:rPr>
        <w:t>定，但</w:t>
      </w:r>
      <w:r>
        <w:rPr>
          <w:rFonts w:ascii="宋体" w:hAnsi="宋体" w:eastAsia="宋体" w:cs="宋体"/>
          <w:spacing w:val="14"/>
          <w:sz w:val="21"/>
          <w:szCs w:val="21"/>
        </w:rPr>
        <w:t>系统的最大作用面积不应大于80m²,最小作用面积不应小于</w:t>
      </w:r>
      <w:r>
        <w:rPr>
          <w:rFonts w:ascii="宋体" w:hAnsi="宋体" w:eastAsia="宋体" w:cs="宋体"/>
          <w:spacing w:val="3"/>
          <w:sz w:val="21"/>
          <w:szCs w:val="21"/>
        </w:rPr>
        <w:t>4个喷头的作用面积。</w:t>
      </w:r>
    </w:p>
    <w:p>
      <w:pPr>
        <w:spacing w:before="69" w:line="219" w:lineRule="auto"/>
        <w:ind w:left="3"/>
        <w:rPr>
          <w:rFonts w:ascii="宋体" w:hAnsi="宋体" w:eastAsia="宋体" w:cs="宋体"/>
          <w:sz w:val="21"/>
          <w:szCs w:val="21"/>
        </w:rPr>
      </w:pPr>
      <w:r>
        <w:rPr>
          <w:rFonts w:ascii="宋体" w:hAnsi="宋体" w:eastAsia="宋体" w:cs="宋体"/>
          <w:b/>
          <w:bCs/>
          <w:spacing w:val="-1"/>
          <w:sz w:val="21"/>
          <w:szCs w:val="21"/>
        </w:rPr>
        <w:t>6.3.3</w:t>
      </w:r>
      <w:r>
        <w:rPr>
          <w:rFonts w:ascii="宋体" w:hAnsi="宋体" w:eastAsia="宋体" w:cs="宋体"/>
          <w:spacing w:val="-1"/>
          <w:sz w:val="21"/>
          <w:szCs w:val="21"/>
        </w:rPr>
        <w:t>简易自动喷水灭火系统的供水满足下列要求：</w:t>
      </w:r>
    </w:p>
    <w:p>
      <w:pPr>
        <w:spacing w:before="71" w:line="246" w:lineRule="auto"/>
        <w:ind w:right="84" w:firstLine="423"/>
        <w:rPr>
          <w:rFonts w:ascii="宋体" w:hAnsi="宋体" w:eastAsia="宋体" w:cs="宋体"/>
          <w:sz w:val="21"/>
          <w:szCs w:val="21"/>
        </w:rPr>
      </w:pPr>
      <w:r>
        <w:rPr>
          <w:rFonts w:ascii="宋体" w:hAnsi="宋体" w:eastAsia="宋体" w:cs="宋体"/>
          <w:b/>
          <w:bCs/>
          <w:spacing w:val="-4"/>
          <w:sz w:val="21"/>
          <w:szCs w:val="21"/>
        </w:rPr>
        <w:t>1</w:t>
      </w:r>
      <w:r>
        <w:rPr>
          <w:rFonts w:ascii="宋体" w:hAnsi="宋体" w:eastAsia="宋体" w:cs="宋体"/>
          <w:spacing w:val="-4"/>
          <w:sz w:val="21"/>
          <w:szCs w:val="21"/>
        </w:rPr>
        <w:t>应确保一路可靠市政供水，可采用市政管网供水、室内消</w:t>
      </w:r>
      <w:r>
        <w:rPr>
          <w:rFonts w:ascii="宋体" w:hAnsi="宋体" w:eastAsia="宋体" w:cs="宋体"/>
          <w:spacing w:val="-1"/>
          <w:sz w:val="21"/>
          <w:szCs w:val="21"/>
        </w:rPr>
        <w:t>火栓管道供水或屋顶水箱供水方式。</w:t>
      </w:r>
    </w:p>
    <w:p>
      <w:pPr>
        <w:spacing w:before="82" w:line="243" w:lineRule="auto"/>
        <w:ind w:right="94" w:firstLine="423"/>
        <w:rPr>
          <w:rFonts w:ascii="宋体" w:hAnsi="宋体" w:eastAsia="宋体" w:cs="宋体"/>
          <w:sz w:val="21"/>
          <w:szCs w:val="21"/>
        </w:rPr>
      </w:pPr>
      <w:r>
        <w:rPr>
          <w:rFonts w:ascii="宋体" w:hAnsi="宋体" w:eastAsia="宋体" w:cs="宋体"/>
          <w:b/>
          <w:bCs/>
          <w:spacing w:val="3"/>
          <w:sz w:val="21"/>
          <w:szCs w:val="21"/>
        </w:rPr>
        <w:t>2</w:t>
      </w:r>
      <w:r>
        <w:rPr>
          <w:rFonts w:ascii="宋体" w:hAnsi="宋体" w:eastAsia="宋体" w:cs="宋体"/>
          <w:spacing w:val="3"/>
          <w:sz w:val="21"/>
          <w:szCs w:val="21"/>
        </w:rPr>
        <w:t>简易自动喷水灭火系统的市政供水应从生活计量总表前</w:t>
      </w:r>
      <w:r>
        <w:rPr>
          <w:rFonts w:ascii="宋体" w:hAnsi="宋体" w:eastAsia="宋体" w:cs="宋体"/>
          <w:spacing w:val="1"/>
          <w:sz w:val="21"/>
          <w:szCs w:val="21"/>
        </w:rPr>
        <w:t>接入。</w:t>
      </w:r>
    </w:p>
    <w:p>
      <w:pPr>
        <w:spacing w:before="55" w:line="255" w:lineRule="auto"/>
        <w:ind w:firstLine="423"/>
        <w:rPr>
          <w:rFonts w:ascii="宋体" w:hAnsi="宋体" w:eastAsia="宋体" w:cs="宋体"/>
          <w:sz w:val="21"/>
          <w:szCs w:val="21"/>
        </w:rPr>
      </w:pPr>
      <w:r>
        <w:rPr>
          <w:rFonts w:ascii="宋体" w:hAnsi="宋体" w:eastAsia="宋体" w:cs="宋体"/>
          <w:b/>
          <w:bCs/>
          <w:spacing w:val="6"/>
          <w:sz w:val="21"/>
          <w:szCs w:val="21"/>
        </w:rPr>
        <w:t>3</w:t>
      </w:r>
      <w:r>
        <w:rPr>
          <w:rFonts w:ascii="宋体" w:hAnsi="宋体" w:eastAsia="宋体" w:cs="宋体"/>
          <w:spacing w:val="6"/>
          <w:sz w:val="21"/>
          <w:szCs w:val="21"/>
        </w:rPr>
        <w:t>当最大单元的作用面积小于50m²时，市政供水的管径不应小于50</w:t>
      </w:r>
      <w:r>
        <w:rPr>
          <w:rFonts w:ascii="Times New Roman" w:hAnsi="Times New Roman" w:eastAsia="Times New Roman" w:cs="Times New Roman"/>
          <w:sz w:val="21"/>
          <w:szCs w:val="21"/>
        </w:rPr>
        <w:t>mm</w:t>
      </w:r>
      <w:r>
        <w:rPr>
          <w:rFonts w:ascii="Times New Roman" w:hAnsi="Times New Roman" w:eastAsia="Times New Roman" w:cs="Times New Roman"/>
          <w:spacing w:val="6"/>
          <w:sz w:val="21"/>
          <w:szCs w:val="21"/>
        </w:rPr>
        <w:t>;</w:t>
      </w:r>
      <w:r>
        <w:rPr>
          <w:rFonts w:ascii="宋体" w:hAnsi="宋体" w:eastAsia="宋体" w:cs="宋体"/>
          <w:spacing w:val="6"/>
          <w:sz w:val="21"/>
          <w:szCs w:val="21"/>
        </w:rPr>
        <w:t>当最大单元的作用面积大于或等于50</w:t>
      </w:r>
      <w:r>
        <w:rPr>
          <w:rFonts w:ascii="Times New Roman" w:hAnsi="Times New Roman" w:eastAsia="Times New Roman" w:cs="Times New Roman"/>
          <w:spacing w:val="6"/>
          <w:sz w:val="21"/>
          <w:szCs w:val="21"/>
        </w:rPr>
        <w:t>m²</w:t>
      </w:r>
      <w:r>
        <w:rPr>
          <w:rFonts w:ascii="宋体" w:hAnsi="宋体" w:eastAsia="宋体" w:cs="宋体"/>
          <w:spacing w:val="6"/>
          <w:sz w:val="21"/>
          <w:szCs w:val="21"/>
        </w:rPr>
        <w:t>时，</w:t>
      </w:r>
      <w:r>
        <w:rPr>
          <w:rFonts w:ascii="宋体" w:hAnsi="宋体" w:eastAsia="宋体" w:cs="宋体"/>
          <w:spacing w:val="4"/>
          <w:sz w:val="21"/>
          <w:szCs w:val="21"/>
        </w:rPr>
        <w:t>市政供水管径不应小于65</w:t>
      </w:r>
      <w:r>
        <w:rPr>
          <w:rFonts w:ascii="宋体" w:hAnsi="宋体" w:eastAsia="宋体" w:cs="宋体"/>
          <w:sz w:val="21"/>
          <w:szCs w:val="21"/>
        </w:rPr>
        <w:t>mm</w:t>
      </w:r>
      <w:r>
        <w:rPr>
          <w:rFonts w:ascii="宋体" w:hAnsi="宋体" w:eastAsia="宋体" w:cs="宋体"/>
          <w:spacing w:val="4"/>
          <w:sz w:val="21"/>
          <w:szCs w:val="21"/>
        </w:rPr>
        <w:t>。</w:t>
      </w:r>
    </w:p>
    <w:p>
      <w:pPr>
        <w:spacing w:before="78" w:line="252" w:lineRule="auto"/>
        <w:ind w:right="95" w:firstLine="423"/>
        <w:rPr>
          <w:rFonts w:ascii="宋体" w:hAnsi="宋体" w:eastAsia="宋体" w:cs="宋体"/>
          <w:sz w:val="21"/>
          <w:szCs w:val="21"/>
        </w:rPr>
      </w:pPr>
      <w:r>
        <w:rPr>
          <w:rFonts w:ascii="宋体" w:hAnsi="宋体" w:eastAsia="宋体" w:cs="宋体"/>
          <w:b/>
          <w:bCs/>
          <w:spacing w:val="6"/>
          <w:sz w:val="21"/>
          <w:szCs w:val="21"/>
        </w:rPr>
        <w:t>4</w:t>
      </w:r>
      <w:r>
        <w:rPr>
          <w:rFonts w:ascii="宋体" w:hAnsi="宋体" w:eastAsia="宋体" w:cs="宋体"/>
          <w:spacing w:val="6"/>
          <w:sz w:val="21"/>
          <w:szCs w:val="21"/>
        </w:rPr>
        <w:t>屋顶水箱的供水管径应不小于65</w:t>
      </w:r>
      <w:r>
        <w:rPr>
          <w:rFonts w:ascii="宋体" w:hAnsi="宋体" w:eastAsia="宋体" w:cs="宋体"/>
          <w:sz w:val="21"/>
          <w:szCs w:val="21"/>
        </w:rPr>
        <w:t>mm</w:t>
      </w:r>
      <w:r>
        <w:rPr>
          <w:rFonts w:ascii="宋体" w:hAnsi="宋体" w:eastAsia="宋体" w:cs="宋体"/>
          <w:spacing w:val="6"/>
          <w:sz w:val="21"/>
          <w:szCs w:val="21"/>
        </w:rPr>
        <w:t>,其有效消防用水</w:t>
      </w:r>
      <w:r>
        <w:rPr>
          <w:rFonts w:ascii="宋体" w:hAnsi="宋体" w:eastAsia="宋体" w:cs="宋体"/>
          <w:spacing w:val="9"/>
          <w:sz w:val="21"/>
          <w:szCs w:val="21"/>
        </w:rPr>
        <w:t>量应大于或等于1</w:t>
      </w:r>
      <w:r>
        <w:rPr>
          <w:rFonts w:ascii="Times New Roman" w:hAnsi="Times New Roman" w:eastAsia="Times New Roman" w:cs="Times New Roman"/>
          <w:spacing w:val="9"/>
          <w:sz w:val="21"/>
          <w:szCs w:val="21"/>
        </w:rPr>
        <w:t>m³</w:t>
      </w:r>
      <w:r>
        <w:rPr>
          <w:rFonts w:ascii="宋体" w:hAnsi="宋体" w:eastAsia="宋体" w:cs="宋体"/>
          <w:spacing w:val="9"/>
          <w:sz w:val="21"/>
          <w:szCs w:val="21"/>
        </w:rPr>
        <w:t>。</w:t>
      </w:r>
    </w:p>
    <w:p>
      <w:pPr>
        <w:spacing w:before="49" w:line="278" w:lineRule="auto"/>
        <w:ind w:right="87" w:firstLine="3"/>
        <w:rPr>
          <w:rFonts w:ascii="宋体" w:hAnsi="宋体" w:eastAsia="宋体" w:cs="宋体"/>
          <w:sz w:val="21"/>
          <w:szCs w:val="21"/>
        </w:rPr>
      </w:pPr>
      <w:r>
        <w:rPr>
          <w:rFonts w:ascii="宋体" w:hAnsi="宋体" w:eastAsia="宋体" w:cs="宋体"/>
          <w:b/>
          <w:bCs/>
          <w:spacing w:val="10"/>
          <w:sz w:val="21"/>
          <w:szCs w:val="21"/>
        </w:rPr>
        <w:t>6.3.4</w:t>
      </w:r>
      <w:r>
        <w:rPr>
          <w:rFonts w:ascii="宋体" w:hAnsi="宋体" w:eastAsia="宋体" w:cs="宋体"/>
          <w:spacing w:val="10"/>
          <w:sz w:val="21"/>
          <w:szCs w:val="21"/>
        </w:rPr>
        <w:t>简易自动喷水灭火系统不能达到最不利点的工</w:t>
      </w:r>
      <w:r>
        <w:rPr>
          <w:rFonts w:ascii="宋体" w:hAnsi="宋体" w:eastAsia="宋体" w:cs="宋体"/>
          <w:spacing w:val="9"/>
          <w:sz w:val="21"/>
          <w:szCs w:val="21"/>
        </w:rPr>
        <w:t>作压力</w:t>
      </w:r>
      <w:r>
        <w:rPr>
          <w:rFonts w:ascii="宋体" w:hAnsi="宋体" w:eastAsia="宋体" w:cs="宋体"/>
          <w:spacing w:val="-12"/>
          <w:sz w:val="21"/>
          <w:szCs w:val="21"/>
        </w:rPr>
        <w:t>时，应设置管道增压泵，并应符合下列规定：</w:t>
      </w:r>
    </w:p>
    <w:p>
      <w:pPr>
        <w:spacing w:line="278" w:lineRule="auto"/>
        <w:rPr>
          <w:rFonts w:ascii="宋体" w:hAnsi="宋体" w:eastAsia="宋体" w:cs="宋体"/>
          <w:sz w:val="21"/>
          <w:szCs w:val="21"/>
        </w:rPr>
        <w:sectPr>
          <w:footerReference r:id="rId51" w:type="default"/>
          <w:pgSz w:w="8280" w:h="11850"/>
          <w:pgMar w:top="400" w:right="1135" w:bottom="1300" w:left="1179" w:header="0" w:footer="1027" w:gutter="0"/>
          <w:cols w:space="720" w:num="1"/>
        </w:sectPr>
      </w:pPr>
    </w:p>
    <w:p>
      <w:pPr>
        <w:pStyle w:val="2"/>
        <w:spacing w:line="275" w:lineRule="auto"/>
      </w:pPr>
    </w:p>
    <w:p>
      <w:pPr>
        <w:pStyle w:val="2"/>
        <w:spacing w:line="275" w:lineRule="auto"/>
      </w:pPr>
    </w:p>
    <w:p>
      <w:pPr>
        <w:pStyle w:val="2"/>
        <w:spacing w:line="275" w:lineRule="auto"/>
      </w:pPr>
    </w:p>
    <w:p>
      <w:pPr>
        <w:spacing w:before="68" w:line="219" w:lineRule="auto"/>
        <w:ind w:left="524"/>
        <w:rPr>
          <w:rFonts w:ascii="宋体" w:hAnsi="宋体" w:eastAsia="宋体" w:cs="宋体"/>
          <w:sz w:val="21"/>
          <w:szCs w:val="21"/>
        </w:rPr>
      </w:pPr>
      <w:r>
        <w:rPr>
          <w:rFonts w:ascii="宋体" w:hAnsi="宋体" w:eastAsia="宋体" w:cs="宋体"/>
          <w:spacing w:val="-1"/>
          <w:sz w:val="21"/>
          <w:szCs w:val="21"/>
        </w:rPr>
        <w:t>1增压泵可不设备用泵。</w:t>
      </w:r>
    </w:p>
    <w:p>
      <w:pPr>
        <w:spacing w:before="70" w:line="254" w:lineRule="auto"/>
        <w:ind w:left="105" w:firstLine="419"/>
        <w:rPr>
          <w:rFonts w:ascii="宋体" w:hAnsi="宋体" w:eastAsia="宋体" w:cs="宋体"/>
          <w:sz w:val="21"/>
          <w:szCs w:val="21"/>
        </w:rPr>
      </w:pPr>
      <w:r>
        <w:rPr>
          <w:rFonts w:ascii="宋体" w:hAnsi="宋体" w:eastAsia="宋体" w:cs="宋体"/>
          <w:spacing w:val="-5"/>
          <w:sz w:val="21"/>
          <w:szCs w:val="21"/>
        </w:rPr>
        <w:t>2增压泵可市政一路供电，并应在明显、适当部位设置电源</w:t>
      </w:r>
      <w:r>
        <w:rPr>
          <w:rFonts w:ascii="宋体" w:hAnsi="宋体" w:eastAsia="宋体" w:cs="宋体"/>
          <w:spacing w:val="-8"/>
          <w:sz w:val="21"/>
          <w:szCs w:val="21"/>
        </w:rPr>
        <w:t>开关，供电线路应穿金属管保护。</w:t>
      </w:r>
    </w:p>
    <w:p>
      <w:pPr>
        <w:spacing w:before="50" w:line="219" w:lineRule="auto"/>
        <w:ind w:left="108"/>
        <w:rPr>
          <w:rFonts w:ascii="宋体" w:hAnsi="宋体" w:eastAsia="宋体" w:cs="宋体"/>
          <w:sz w:val="21"/>
          <w:szCs w:val="21"/>
        </w:rPr>
      </w:pPr>
      <w:r>
        <w:rPr>
          <w:rFonts w:ascii="宋体" w:hAnsi="宋体" w:eastAsia="宋体" w:cs="宋体"/>
          <w:b/>
          <w:bCs/>
          <w:spacing w:val="-2"/>
          <w:sz w:val="21"/>
          <w:szCs w:val="21"/>
        </w:rPr>
        <w:t>6.3.5</w:t>
      </w:r>
      <w:r>
        <w:rPr>
          <w:rFonts w:ascii="宋体" w:hAnsi="宋体" w:eastAsia="宋体" w:cs="宋体"/>
          <w:spacing w:val="-2"/>
          <w:sz w:val="21"/>
          <w:szCs w:val="21"/>
        </w:rPr>
        <w:t>简易自动喷水灭火系统的管道及附件应符合下列规定：</w:t>
      </w:r>
    </w:p>
    <w:p>
      <w:pPr>
        <w:spacing w:before="82" w:line="219" w:lineRule="auto"/>
        <w:ind w:left="527"/>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配水管道上不应设置其他用水设施。</w:t>
      </w:r>
    </w:p>
    <w:p>
      <w:pPr>
        <w:spacing w:before="61" w:line="219" w:lineRule="auto"/>
        <w:ind w:left="527"/>
        <w:rPr>
          <w:rFonts w:ascii="宋体" w:hAnsi="宋体" w:eastAsia="宋体" w:cs="宋体"/>
          <w:sz w:val="21"/>
          <w:szCs w:val="21"/>
        </w:rPr>
      </w:pPr>
      <w:r>
        <w:rPr>
          <w:rFonts w:ascii="宋体" w:hAnsi="宋体" w:eastAsia="宋体" w:cs="宋体"/>
          <w:b/>
          <w:bCs/>
          <w:spacing w:val="-1"/>
          <w:sz w:val="21"/>
          <w:szCs w:val="21"/>
        </w:rPr>
        <w:t>2</w:t>
      </w:r>
      <w:r>
        <w:rPr>
          <w:rFonts w:ascii="宋体" w:hAnsi="宋体" w:eastAsia="宋体" w:cs="宋体"/>
          <w:spacing w:val="-1"/>
          <w:sz w:val="21"/>
          <w:szCs w:val="21"/>
        </w:rPr>
        <w:t>系统的最不利点应设置末端放水阀和压力表。</w:t>
      </w:r>
    </w:p>
    <w:p>
      <w:pPr>
        <w:spacing w:before="60" w:line="258" w:lineRule="auto"/>
        <w:ind w:left="105" w:right="16" w:firstLine="422"/>
        <w:rPr>
          <w:rFonts w:ascii="宋体" w:hAnsi="宋体" w:eastAsia="宋体" w:cs="宋体"/>
          <w:sz w:val="21"/>
          <w:szCs w:val="21"/>
        </w:rPr>
      </w:pPr>
      <w:r>
        <w:rPr>
          <w:rFonts w:ascii="宋体" w:hAnsi="宋体" w:eastAsia="宋体" w:cs="宋体"/>
          <w:b/>
          <w:bCs/>
          <w:spacing w:val="22"/>
          <w:sz w:val="21"/>
          <w:szCs w:val="21"/>
        </w:rPr>
        <w:t>3</w:t>
      </w:r>
      <w:r>
        <w:rPr>
          <w:rFonts w:ascii="宋体" w:hAnsi="宋体" w:eastAsia="宋体" w:cs="宋体"/>
          <w:spacing w:val="22"/>
          <w:sz w:val="21"/>
          <w:szCs w:val="21"/>
        </w:rPr>
        <w:t>室内配水干管不应小于40</w:t>
      </w:r>
      <w:r>
        <w:rPr>
          <w:rFonts w:ascii="宋体" w:hAnsi="宋体" w:eastAsia="宋体" w:cs="宋体"/>
          <w:sz w:val="21"/>
          <w:szCs w:val="21"/>
        </w:rPr>
        <w:t>mm</w:t>
      </w:r>
      <w:r>
        <w:rPr>
          <w:rFonts w:ascii="宋体" w:hAnsi="宋体" w:eastAsia="宋体" w:cs="宋体"/>
          <w:spacing w:val="22"/>
          <w:sz w:val="21"/>
          <w:szCs w:val="21"/>
        </w:rPr>
        <w:t>;配水支管不应小于</w:t>
      </w:r>
      <w:r>
        <w:rPr>
          <w:rFonts w:ascii="Times New Roman" w:hAnsi="Times New Roman" w:eastAsia="Times New Roman" w:cs="Times New Roman"/>
          <w:spacing w:val="19"/>
          <w:sz w:val="21"/>
          <w:szCs w:val="21"/>
        </w:rPr>
        <w:t>25</w:t>
      </w:r>
      <w:r>
        <w:rPr>
          <w:rFonts w:ascii="Times New Roman" w:hAnsi="Times New Roman" w:eastAsia="Times New Roman" w:cs="Times New Roman"/>
          <w:sz w:val="21"/>
          <w:szCs w:val="21"/>
        </w:rPr>
        <w:t>mm</w:t>
      </w:r>
      <w:r>
        <w:rPr>
          <w:rFonts w:ascii="Times New Roman" w:hAnsi="Times New Roman" w:eastAsia="Times New Roman" w:cs="Times New Roman"/>
          <w:spacing w:val="19"/>
          <w:sz w:val="21"/>
          <w:szCs w:val="21"/>
        </w:rPr>
        <w:t>;</w:t>
      </w:r>
      <w:r>
        <w:rPr>
          <w:rFonts w:ascii="宋体" w:hAnsi="宋体" w:eastAsia="宋体" w:cs="宋体"/>
          <w:spacing w:val="19"/>
          <w:sz w:val="21"/>
          <w:szCs w:val="21"/>
        </w:rPr>
        <w:t>短立管及末端试水装置的连接管，其管径不应小于</w:t>
      </w:r>
      <w:r>
        <w:rPr>
          <w:rFonts w:ascii="Times New Roman" w:hAnsi="Times New Roman" w:eastAsia="Times New Roman" w:cs="Times New Roman"/>
          <w:spacing w:val="-6"/>
          <w:sz w:val="21"/>
          <w:szCs w:val="21"/>
        </w:rPr>
        <w:t>15mm</w:t>
      </w:r>
      <w:r>
        <w:rPr>
          <w:rFonts w:ascii="宋体" w:hAnsi="宋体" w:eastAsia="宋体" w:cs="宋体"/>
          <w:spacing w:val="-6"/>
          <w:sz w:val="21"/>
          <w:szCs w:val="21"/>
        </w:rPr>
        <w:t>。</w:t>
      </w:r>
    </w:p>
    <w:p>
      <w:pPr>
        <w:pStyle w:val="2"/>
        <w:spacing w:line="297" w:lineRule="auto"/>
      </w:pPr>
    </w:p>
    <w:p>
      <w:pPr>
        <w:spacing w:before="69" w:line="219" w:lineRule="auto"/>
        <w:ind w:left="2277"/>
        <w:outlineLvl w:val="1"/>
        <w:rPr>
          <w:rFonts w:ascii="宋体" w:hAnsi="宋体" w:eastAsia="宋体" w:cs="宋体"/>
          <w:sz w:val="21"/>
          <w:szCs w:val="21"/>
        </w:rPr>
      </w:pPr>
      <w:bookmarkStart w:id="38" w:name="bookmark26"/>
      <w:bookmarkEnd w:id="38"/>
      <w:r>
        <w:rPr>
          <w:rFonts w:ascii="宋体" w:hAnsi="宋体" w:eastAsia="宋体" w:cs="宋体"/>
          <w:b/>
          <w:bCs/>
          <w:spacing w:val="-3"/>
          <w:sz w:val="21"/>
          <w:szCs w:val="21"/>
        </w:rPr>
        <w:t>6.4控制与操作</w:t>
      </w:r>
    </w:p>
    <w:p>
      <w:pPr>
        <w:pStyle w:val="2"/>
        <w:spacing w:line="323" w:lineRule="auto"/>
      </w:pPr>
    </w:p>
    <w:p>
      <w:pPr>
        <w:spacing w:before="68" w:line="246" w:lineRule="auto"/>
        <w:ind w:right="19" w:firstLine="105"/>
        <w:rPr>
          <w:rFonts w:ascii="宋体" w:hAnsi="宋体" w:eastAsia="宋体" w:cs="宋体"/>
          <w:sz w:val="21"/>
          <w:szCs w:val="21"/>
        </w:rPr>
      </w:pPr>
      <w:r>
        <w:rPr>
          <w:rFonts w:ascii="宋体" w:hAnsi="宋体" w:eastAsia="宋体" w:cs="宋体"/>
          <w:spacing w:val="9"/>
          <w:sz w:val="21"/>
          <w:szCs w:val="21"/>
        </w:rPr>
        <w:t>6.4.1自动喷水灭火系统的控制与操作应按照现行国家标准</w:t>
      </w:r>
      <w:r>
        <w:rPr>
          <w:rFonts w:ascii="宋体" w:hAnsi="宋体" w:eastAsia="宋体" w:cs="宋体"/>
          <w:spacing w:val="-3"/>
          <w:sz w:val="21"/>
          <w:szCs w:val="21"/>
        </w:rPr>
        <w:t>《自动喷水灭火系统设计规范》GB50084中的相关要求执行。</w:t>
      </w:r>
    </w:p>
    <w:p>
      <w:pPr>
        <w:spacing w:before="70" w:line="259" w:lineRule="auto"/>
        <w:ind w:left="104" w:right="12"/>
        <w:rPr>
          <w:rFonts w:ascii="宋体" w:hAnsi="宋体" w:eastAsia="宋体" w:cs="宋体"/>
          <w:sz w:val="21"/>
          <w:szCs w:val="21"/>
        </w:rPr>
      </w:pPr>
      <w:r>
        <w:rPr>
          <w:rFonts w:ascii="宋体" w:hAnsi="宋体" w:eastAsia="宋体" w:cs="宋体"/>
          <w:spacing w:val="2"/>
          <w:sz w:val="21"/>
          <w:szCs w:val="21"/>
        </w:rPr>
        <w:t>6.4.2自动喷水灭火系统消防水泵应由消防水泵出水干管上压</w:t>
      </w:r>
      <w:r>
        <w:rPr>
          <w:rFonts w:ascii="宋体" w:hAnsi="宋体" w:eastAsia="宋体" w:cs="宋体"/>
          <w:spacing w:val="-1"/>
          <w:sz w:val="21"/>
          <w:szCs w:val="21"/>
        </w:rPr>
        <w:t>力开关、高位消防水箱出水的流量开关或报警阀</w:t>
      </w:r>
      <w:r>
        <w:rPr>
          <w:rFonts w:ascii="宋体" w:hAnsi="宋体" w:eastAsia="宋体" w:cs="宋体"/>
          <w:spacing w:val="-2"/>
          <w:sz w:val="21"/>
          <w:szCs w:val="21"/>
        </w:rPr>
        <w:t>组的压力开关的</w:t>
      </w:r>
      <w:r>
        <w:rPr>
          <w:rFonts w:ascii="宋体" w:hAnsi="宋体" w:eastAsia="宋体" w:cs="宋体"/>
          <w:spacing w:val="6"/>
          <w:sz w:val="21"/>
          <w:szCs w:val="21"/>
        </w:rPr>
        <w:t>任一信号动作后直接启动。消防水泵控制与操作的其他要求应按照本标准第5.6节执行。</w:t>
      </w:r>
    </w:p>
    <w:p>
      <w:pPr>
        <w:spacing w:line="259" w:lineRule="auto"/>
        <w:rPr>
          <w:rFonts w:ascii="宋体" w:hAnsi="宋体" w:eastAsia="宋体" w:cs="宋体"/>
          <w:sz w:val="21"/>
          <w:szCs w:val="21"/>
        </w:rPr>
        <w:sectPr>
          <w:footerReference r:id="rId52" w:type="default"/>
          <w:pgSz w:w="8280" w:h="11850"/>
          <w:pgMar w:top="400" w:right="1221" w:bottom="1330" w:left="1095" w:header="0" w:footer="1057" w:gutter="0"/>
          <w:cols w:space="720" w:num="1"/>
        </w:sectPr>
      </w:pPr>
    </w:p>
    <w:p>
      <w:pPr>
        <w:pStyle w:val="2"/>
        <w:spacing w:line="279" w:lineRule="auto"/>
      </w:pPr>
    </w:p>
    <w:p>
      <w:pPr>
        <w:pStyle w:val="2"/>
        <w:spacing w:line="279" w:lineRule="auto"/>
      </w:pPr>
    </w:p>
    <w:p>
      <w:pPr>
        <w:pStyle w:val="2"/>
        <w:spacing w:line="279" w:lineRule="auto"/>
      </w:pPr>
    </w:p>
    <w:p>
      <w:pPr>
        <w:pStyle w:val="2"/>
        <w:spacing w:line="279" w:lineRule="auto"/>
      </w:pPr>
    </w:p>
    <w:p>
      <w:pPr>
        <w:pStyle w:val="2"/>
        <w:spacing w:line="279" w:lineRule="auto"/>
      </w:pPr>
    </w:p>
    <w:p>
      <w:pPr>
        <w:spacing w:before="91" w:line="221" w:lineRule="auto"/>
        <w:ind w:left="1064"/>
        <w:outlineLvl w:val="0"/>
        <w:rPr>
          <w:rFonts w:ascii="黑体" w:hAnsi="黑体" w:eastAsia="黑体" w:cs="黑体"/>
          <w:sz w:val="28"/>
          <w:szCs w:val="28"/>
        </w:rPr>
      </w:pPr>
      <w:bookmarkStart w:id="39" w:name="bookmark27"/>
      <w:bookmarkEnd w:id="39"/>
      <w:r>
        <w:rPr>
          <w:rFonts w:ascii="宋体" w:hAnsi="宋体" w:eastAsia="宋体" w:cs="宋体"/>
          <w:b/>
          <w:bCs/>
          <w:spacing w:val="-8"/>
          <w:sz w:val="28"/>
          <w:szCs w:val="28"/>
        </w:rPr>
        <w:t>7</w:t>
      </w:r>
      <w:r>
        <w:rPr>
          <w:rFonts w:ascii="黑体" w:hAnsi="黑体" w:eastAsia="黑体" w:cs="黑体"/>
          <w:b/>
          <w:bCs/>
          <w:spacing w:val="-8"/>
          <w:sz w:val="28"/>
          <w:szCs w:val="28"/>
        </w:rPr>
        <w:t>自动跟踪定位射流灭火系统</w:t>
      </w:r>
    </w:p>
    <w:p>
      <w:pPr>
        <w:pStyle w:val="2"/>
        <w:spacing w:line="283" w:lineRule="auto"/>
      </w:pPr>
    </w:p>
    <w:p>
      <w:pPr>
        <w:pStyle w:val="2"/>
        <w:spacing w:line="284" w:lineRule="auto"/>
      </w:pPr>
    </w:p>
    <w:p>
      <w:pPr>
        <w:spacing w:before="68" w:line="258" w:lineRule="auto"/>
        <w:ind w:left="10" w:right="31" w:firstLine="3"/>
        <w:rPr>
          <w:rFonts w:ascii="宋体" w:hAnsi="宋体" w:eastAsia="宋体" w:cs="宋体"/>
          <w:sz w:val="21"/>
          <w:szCs w:val="21"/>
        </w:rPr>
      </w:pPr>
      <w:r>
        <w:rPr>
          <w:rFonts w:ascii="宋体" w:hAnsi="宋体" w:eastAsia="宋体" w:cs="宋体"/>
          <w:b/>
          <w:bCs/>
          <w:spacing w:val="2"/>
          <w:sz w:val="21"/>
          <w:szCs w:val="21"/>
        </w:rPr>
        <w:t>7.0.1</w:t>
      </w:r>
      <w:r>
        <w:rPr>
          <w:rFonts w:ascii="宋体" w:hAnsi="宋体" w:eastAsia="宋体" w:cs="宋体"/>
          <w:spacing w:val="2"/>
          <w:sz w:val="21"/>
          <w:szCs w:val="21"/>
        </w:rPr>
        <w:t>消防炮和喷射型自动射流灭火装置安装高度应大于或等</w:t>
      </w:r>
      <w:r>
        <w:rPr>
          <w:rFonts w:ascii="宋体" w:hAnsi="宋体" w:eastAsia="宋体" w:cs="宋体"/>
          <w:spacing w:val="-2"/>
          <w:sz w:val="21"/>
          <w:szCs w:val="21"/>
        </w:rPr>
        <w:t>于8</w:t>
      </w:r>
      <w:r>
        <w:rPr>
          <w:rFonts w:ascii="Times New Roman" w:hAnsi="Times New Roman" w:eastAsia="Times New Roman" w:cs="Times New Roman"/>
          <w:spacing w:val="-2"/>
          <w:sz w:val="21"/>
          <w:szCs w:val="21"/>
        </w:rPr>
        <w:t>m</w:t>
      </w:r>
      <w:r>
        <w:rPr>
          <w:rFonts w:ascii="宋体" w:hAnsi="宋体" w:eastAsia="宋体" w:cs="宋体"/>
          <w:spacing w:val="-2"/>
          <w:sz w:val="21"/>
          <w:szCs w:val="21"/>
        </w:rPr>
        <w:t>。</w:t>
      </w:r>
    </w:p>
    <w:p>
      <w:pPr>
        <w:spacing w:before="71" w:line="262" w:lineRule="auto"/>
        <w:ind w:left="10"/>
        <w:rPr>
          <w:rFonts w:ascii="宋体" w:hAnsi="宋体" w:eastAsia="宋体" w:cs="宋体"/>
          <w:sz w:val="21"/>
          <w:szCs w:val="21"/>
        </w:rPr>
      </w:pPr>
      <w:r>
        <w:rPr>
          <w:rFonts w:ascii="宋体" w:hAnsi="宋体" w:eastAsia="宋体" w:cs="宋体"/>
          <w:spacing w:val="-4"/>
          <w:sz w:val="21"/>
          <w:szCs w:val="21"/>
        </w:rPr>
        <w:t>7.0.2自动跟踪定位射流灭火系统的选型，应根据设置场所的火</w:t>
      </w:r>
      <w:r>
        <w:rPr>
          <w:rFonts w:ascii="宋体" w:hAnsi="宋体" w:eastAsia="宋体" w:cs="宋体"/>
          <w:spacing w:val="-15"/>
          <w:sz w:val="21"/>
          <w:szCs w:val="21"/>
        </w:rPr>
        <w:t>灾类别、火灾危险等级、环境条件、空间高度、保护区域特点等因素</w:t>
      </w:r>
      <w:r>
        <w:rPr>
          <w:rFonts w:ascii="宋体" w:hAnsi="宋体" w:eastAsia="宋体" w:cs="宋体"/>
          <w:spacing w:val="1"/>
          <w:sz w:val="21"/>
          <w:szCs w:val="21"/>
        </w:rPr>
        <w:t>确定。自动跟踪定位射流灭火系统设置场所的</w:t>
      </w:r>
      <w:r>
        <w:rPr>
          <w:rFonts w:ascii="宋体" w:hAnsi="宋体" w:eastAsia="宋体" w:cs="宋体"/>
          <w:sz w:val="21"/>
          <w:szCs w:val="21"/>
        </w:rPr>
        <w:t>火灾危险等级可按</w:t>
      </w:r>
      <w:r>
        <w:rPr>
          <w:rFonts w:ascii="宋体" w:hAnsi="宋体" w:eastAsia="宋体" w:cs="宋体"/>
          <w:spacing w:val="-4"/>
          <w:sz w:val="21"/>
          <w:szCs w:val="21"/>
        </w:rPr>
        <w:t>现行国家标准《自动喷水灭火系统设计规范》</w:t>
      </w:r>
      <w:r>
        <w:rPr>
          <w:rFonts w:ascii="Times New Roman" w:hAnsi="Times New Roman" w:eastAsia="Times New Roman" w:cs="Times New Roman"/>
          <w:spacing w:val="-4"/>
          <w:sz w:val="21"/>
          <w:szCs w:val="21"/>
        </w:rPr>
        <w:t>GB50084</w:t>
      </w:r>
      <w:r>
        <w:rPr>
          <w:rFonts w:ascii="宋体" w:hAnsi="宋体" w:eastAsia="宋体" w:cs="宋体"/>
          <w:spacing w:val="-4"/>
          <w:sz w:val="21"/>
          <w:szCs w:val="21"/>
        </w:rPr>
        <w:t>的规定划</w:t>
      </w:r>
      <w:r>
        <w:rPr>
          <w:rFonts w:ascii="宋体" w:hAnsi="宋体" w:eastAsia="宋体" w:cs="宋体"/>
          <w:spacing w:val="-1"/>
          <w:sz w:val="21"/>
          <w:szCs w:val="21"/>
        </w:rPr>
        <w:t>分。自动跟踪定位射流灭火系统的选型应符合下列规定：</w:t>
      </w:r>
    </w:p>
    <w:p>
      <w:pPr>
        <w:spacing w:before="100" w:line="246" w:lineRule="auto"/>
        <w:ind w:left="10" w:right="27" w:firstLine="410"/>
        <w:rPr>
          <w:rFonts w:ascii="宋体" w:hAnsi="宋体" w:eastAsia="宋体" w:cs="宋体"/>
          <w:sz w:val="21"/>
          <w:szCs w:val="21"/>
        </w:rPr>
      </w:pPr>
      <w:r>
        <w:rPr>
          <w:rFonts w:ascii="宋体" w:hAnsi="宋体" w:eastAsia="宋体" w:cs="宋体"/>
          <w:spacing w:val="4"/>
          <w:sz w:val="21"/>
          <w:szCs w:val="21"/>
        </w:rPr>
        <w:t>1轻危险级场所应选用喷射型自动射流灭火系统或喷洒型</w:t>
      </w:r>
      <w:r>
        <w:rPr>
          <w:rFonts w:ascii="宋体" w:hAnsi="宋体" w:eastAsia="宋体" w:cs="宋体"/>
          <w:spacing w:val="-8"/>
          <w:sz w:val="21"/>
          <w:szCs w:val="21"/>
        </w:rPr>
        <w:t>自动射流灭火系统。</w:t>
      </w:r>
    </w:p>
    <w:p>
      <w:pPr>
        <w:spacing w:before="61" w:line="250" w:lineRule="auto"/>
        <w:ind w:left="10" w:right="27" w:firstLine="410"/>
        <w:rPr>
          <w:rFonts w:ascii="宋体" w:hAnsi="宋体" w:eastAsia="宋体" w:cs="宋体"/>
          <w:sz w:val="21"/>
          <w:szCs w:val="21"/>
        </w:rPr>
      </w:pPr>
      <w:r>
        <w:rPr>
          <w:rFonts w:ascii="宋体" w:hAnsi="宋体" w:eastAsia="宋体" w:cs="宋体"/>
          <w:spacing w:val="-4"/>
          <w:sz w:val="21"/>
          <w:szCs w:val="21"/>
        </w:rPr>
        <w:t>2中危险级场所应选用喷射型、自动射流灭火系统、喷洒型</w:t>
      </w:r>
      <w:r>
        <w:rPr>
          <w:rFonts w:ascii="宋体" w:hAnsi="宋体" w:eastAsia="宋体" w:cs="宋体"/>
          <w:spacing w:val="-3"/>
          <w:sz w:val="21"/>
          <w:szCs w:val="21"/>
        </w:rPr>
        <w:t>自动射流灭火系统或自动消防炮灭火系统。</w:t>
      </w:r>
    </w:p>
    <w:p>
      <w:pPr>
        <w:spacing w:before="69" w:line="219" w:lineRule="auto"/>
        <w:ind w:left="420"/>
        <w:rPr>
          <w:rFonts w:ascii="宋体" w:hAnsi="宋体" w:eastAsia="宋体" w:cs="宋体"/>
          <w:sz w:val="21"/>
          <w:szCs w:val="21"/>
        </w:rPr>
      </w:pPr>
      <w:r>
        <w:rPr>
          <w:rFonts w:ascii="宋体" w:hAnsi="宋体" w:eastAsia="宋体" w:cs="宋体"/>
          <w:spacing w:val="-1"/>
          <w:sz w:val="21"/>
          <w:szCs w:val="21"/>
        </w:rPr>
        <w:t>3同一保护区内宜采用一种系统类型。</w:t>
      </w:r>
    </w:p>
    <w:p>
      <w:pPr>
        <w:spacing w:before="80" w:line="274" w:lineRule="auto"/>
        <w:ind w:left="10" w:right="30"/>
        <w:jc w:val="both"/>
        <w:rPr>
          <w:rFonts w:ascii="宋体" w:hAnsi="宋体" w:eastAsia="宋体" w:cs="宋体"/>
          <w:sz w:val="21"/>
          <w:szCs w:val="21"/>
        </w:rPr>
      </w:pPr>
      <w:r>
        <w:rPr>
          <w:rFonts w:ascii="宋体" w:hAnsi="宋体" w:eastAsia="宋体" w:cs="宋体"/>
          <w:spacing w:val="-4"/>
          <w:sz w:val="21"/>
          <w:szCs w:val="21"/>
        </w:rPr>
        <w:t>7.0.3自动跟踪定位射流灭火系统应由灭火装置、探测装置、控</w:t>
      </w:r>
      <w:r>
        <w:rPr>
          <w:rFonts w:ascii="宋体" w:hAnsi="宋体" w:eastAsia="宋体" w:cs="宋体"/>
          <w:spacing w:val="-1"/>
          <w:sz w:val="21"/>
          <w:szCs w:val="21"/>
        </w:rPr>
        <w:t>制装置、水流指示器、模拟末端试水装置等组件，以及管道与阀门、供水设施等组成。自动跟踪定位射流灭火系统的供水管路设</w:t>
      </w:r>
      <w:r>
        <w:rPr>
          <w:rFonts w:ascii="宋体" w:hAnsi="宋体" w:eastAsia="宋体" w:cs="宋体"/>
          <w:spacing w:val="-4"/>
          <w:sz w:val="21"/>
          <w:szCs w:val="21"/>
        </w:rPr>
        <w:t>计应符合下列规定：</w:t>
      </w:r>
    </w:p>
    <w:p>
      <w:pPr>
        <w:spacing w:before="14" w:line="219" w:lineRule="auto"/>
        <w:ind w:left="423"/>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自动控制阀前应采用湿式管路。</w:t>
      </w:r>
    </w:p>
    <w:p>
      <w:pPr>
        <w:spacing w:before="71" w:line="219" w:lineRule="auto"/>
        <w:ind w:left="423"/>
        <w:rPr>
          <w:rFonts w:ascii="宋体" w:hAnsi="宋体" w:eastAsia="宋体" w:cs="宋体"/>
          <w:sz w:val="21"/>
          <w:szCs w:val="21"/>
        </w:rPr>
      </w:pPr>
      <w:r>
        <w:rPr>
          <w:rFonts w:ascii="宋体" w:hAnsi="宋体" w:eastAsia="宋体" w:cs="宋体"/>
          <w:b/>
          <w:bCs/>
          <w:spacing w:val="-6"/>
          <w:sz w:val="21"/>
          <w:szCs w:val="21"/>
        </w:rPr>
        <w:t>2</w:t>
      </w:r>
      <w:r>
        <w:rPr>
          <w:rFonts w:ascii="宋体" w:hAnsi="宋体" w:eastAsia="宋体" w:cs="宋体"/>
          <w:spacing w:val="-6"/>
          <w:sz w:val="21"/>
          <w:szCs w:val="21"/>
        </w:rPr>
        <w:t>在可能发生冰冻的场所，应采取防冻措施。</w:t>
      </w:r>
    </w:p>
    <w:p>
      <w:pPr>
        <w:spacing w:before="71" w:line="219" w:lineRule="auto"/>
        <w:ind w:left="423"/>
        <w:rPr>
          <w:rFonts w:ascii="宋体" w:hAnsi="宋体" w:eastAsia="宋体" w:cs="宋体"/>
          <w:sz w:val="21"/>
          <w:szCs w:val="21"/>
        </w:rPr>
      </w:pPr>
      <w:r>
        <w:rPr>
          <w:rFonts w:ascii="宋体" w:hAnsi="宋体" w:eastAsia="宋体" w:cs="宋体"/>
          <w:b/>
          <w:bCs/>
          <w:spacing w:val="4"/>
          <w:sz w:val="21"/>
          <w:szCs w:val="21"/>
        </w:rPr>
        <w:t>3</w:t>
      </w:r>
      <w:r>
        <w:rPr>
          <w:rFonts w:ascii="宋体" w:hAnsi="宋体" w:eastAsia="宋体" w:cs="宋体"/>
          <w:spacing w:val="4"/>
          <w:sz w:val="21"/>
          <w:szCs w:val="21"/>
        </w:rPr>
        <w:t>自动控制阀后的干式管路长度不宜大于30m。</w:t>
      </w:r>
    </w:p>
    <w:p>
      <w:pPr>
        <w:spacing w:before="71" w:line="255" w:lineRule="auto"/>
        <w:ind w:left="10" w:right="22" w:hanging="10"/>
        <w:rPr>
          <w:rFonts w:ascii="宋体" w:hAnsi="宋体" w:eastAsia="宋体" w:cs="宋体"/>
          <w:sz w:val="21"/>
          <w:szCs w:val="21"/>
        </w:rPr>
      </w:pPr>
      <w:r>
        <w:rPr>
          <w:rFonts w:ascii="宋体" w:hAnsi="宋体" w:eastAsia="宋体" w:cs="宋体"/>
          <w:spacing w:val="3"/>
          <w:sz w:val="21"/>
          <w:szCs w:val="21"/>
        </w:rPr>
        <w:t>7.0.4自动消防炮灭火系统和喷射型自动射流灭火系统应保证</w:t>
      </w:r>
      <w:r>
        <w:rPr>
          <w:rFonts w:ascii="宋体" w:hAnsi="宋体" w:eastAsia="宋体" w:cs="宋体"/>
          <w:spacing w:val="4"/>
          <w:sz w:val="21"/>
          <w:szCs w:val="21"/>
        </w:rPr>
        <w:t>至少2台灭火装置的射流能到达被保护区域</w:t>
      </w:r>
      <w:r>
        <w:rPr>
          <w:rFonts w:ascii="宋体" w:hAnsi="宋体" w:eastAsia="宋体" w:cs="宋体"/>
          <w:spacing w:val="3"/>
          <w:sz w:val="21"/>
          <w:szCs w:val="21"/>
        </w:rPr>
        <w:t>的任一部位，设计同</w:t>
      </w:r>
      <w:r>
        <w:rPr>
          <w:rFonts w:ascii="宋体" w:hAnsi="宋体" w:eastAsia="宋体" w:cs="宋体"/>
          <w:spacing w:val="6"/>
          <w:sz w:val="21"/>
          <w:szCs w:val="21"/>
        </w:rPr>
        <w:t>时开启数量应按2台确定。</w:t>
      </w:r>
    </w:p>
    <w:p>
      <w:pPr>
        <w:spacing w:before="60" w:line="255" w:lineRule="auto"/>
        <w:ind w:left="10" w:right="30" w:firstLine="3"/>
        <w:rPr>
          <w:rFonts w:ascii="宋体" w:hAnsi="宋体" w:eastAsia="宋体" w:cs="宋体"/>
          <w:sz w:val="21"/>
          <w:szCs w:val="21"/>
        </w:rPr>
      </w:pPr>
      <w:r>
        <w:rPr>
          <w:rFonts w:ascii="宋体" w:hAnsi="宋体" w:eastAsia="宋体" w:cs="宋体"/>
          <w:b/>
          <w:bCs/>
          <w:spacing w:val="-4"/>
          <w:sz w:val="21"/>
          <w:szCs w:val="21"/>
        </w:rPr>
        <w:t>7.0.5</w:t>
      </w:r>
      <w:r>
        <w:rPr>
          <w:rFonts w:ascii="宋体" w:hAnsi="宋体" w:eastAsia="宋体" w:cs="宋体"/>
          <w:spacing w:val="-4"/>
          <w:sz w:val="21"/>
          <w:szCs w:val="21"/>
        </w:rPr>
        <w:t>自动消防炮灭火系统用于扑救民用建筑内火灾时，</w:t>
      </w:r>
      <w:r>
        <w:rPr>
          <w:rFonts w:ascii="宋体" w:hAnsi="宋体" w:eastAsia="宋体" w:cs="宋体"/>
          <w:spacing w:val="-5"/>
          <w:sz w:val="21"/>
          <w:szCs w:val="21"/>
        </w:rPr>
        <w:t>单台炮</w:t>
      </w:r>
      <w:r>
        <w:rPr>
          <w:rFonts w:ascii="宋体" w:hAnsi="宋体" w:eastAsia="宋体" w:cs="宋体"/>
          <w:spacing w:val="2"/>
          <w:sz w:val="21"/>
          <w:szCs w:val="21"/>
        </w:rPr>
        <w:t>的流量不应小于20</w:t>
      </w:r>
      <w:r>
        <w:rPr>
          <w:rFonts w:ascii="Times New Roman" w:hAnsi="Times New Roman" w:eastAsia="Times New Roman" w:cs="Times New Roman"/>
          <w:spacing w:val="2"/>
          <w:sz w:val="21"/>
          <w:szCs w:val="21"/>
        </w:rPr>
        <w:t>L/s</w:t>
      </w:r>
      <w:r>
        <w:rPr>
          <w:rFonts w:ascii="宋体" w:hAnsi="宋体" w:eastAsia="宋体" w:cs="宋体"/>
          <w:spacing w:val="2"/>
          <w:sz w:val="21"/>
          <w:szCs w:val="21"/>
        </w:rPr>
        <w:t>。喷射型自动射流灭火系统用于扑救轻危</w:t>
      </w:r>
    </w:p>
    <w:p>
      <w:pPr>
        <w:spacing w:line="255" w:lineRule="auto"/>
        <w:rPr>
          <w:rFonts w:ascii="宋体" w:hAnsi="宋体" w:eastAsia="宋体" w:cs="宋体"/>
          <w:sz w:val="21"/>
          <w:szCs w:val="21"/>
        </w:rPr>
        <w:sectPr>
          <w:footerReference r:id="rId53" w:type="default"/>
          <w:pgSz w:w="8280" w:h="11850"/>
          <w:pgMar w:top="400" w:right="1188" w:bottom="1340" w:left="1179" w:header="0" w:footer="1067" w:gutter="0"/>
          <w:cols w:space="720" w:num="1"/>
        </w:sectPr>
      </w:pPr>
    </w:p>
    <w:p>
      <w:pPr>
        <w:pStyle w:val="2"/>
        <w:spacing w:line="253" w:lineRule="auto"/>
      </w:pPr>
    </w:p>
    <w:p>
      <w:pPr>
        <w:pStyle w:val="2"/>
        <w:spacing w:line="254" w:lineRule="auto"/>
      </w:pPr>
    </w:p>
    <w:p>
      <w:pPr>
        <w:pStyle w:val="2"/>
        <w:spacing w:line="254" w:lineRule="auto"/>
      </w:pPr>
    </w:p>
    <w:p>
      <w:pPr>
        <w:spacing w:before="68" w:line="283" w:lineRule="auto"/>
        <w:ind w:right="43"/>
        <w:rPr>
          <w:rFonts w:ascii="宋体" w:hAnsi="宋体" w:eastAsia="宋体" w:cs="宋体"/>
          <w:sz w:val="21"/>
          <w:szCs w:val="21"/>
        </w:rPr>
      </w:pPr>
      <w:bookmarkStart w:id="40" w:name="bookmark88"/>
      <w:bookmarkEnd w:id="40"/>
      <w:r>
        <w:rPr>
          <w:rFonts w:ascii="宋体" w:hAnsi="宋体" w:eastAsia="宋体" w:cs="宋体"/>
          <w:spacing w:val="-5"/>
          <w:sz w:val="21"/>
          <w:szCs w:val="21"/>
        </w:rPr>
        <w:t>险级场所火灾时，单台灭火装置的流量不应小于5</w:t>
      </w:r>
      <w:r>
        <w:rPr>
          <w:rFonts w:ascii="Times New Roman" w:hAnsi="Times New Roman" w:eastAsia="Times New Roman" w:cs="Times New Roman"/>
          <w:spacing w:val="-5"/>
          <w:sz w:val="21"/>
          <w:szCs w:val="21"/>
        </w:rPr>
        <w:t>L/s;</w:t>
      </w:r>
      <w:r>
        <w:rPr>
          <w:rFonts w:ascii="宋体" w:hAnsi="宋体" w:eastAsia="宋体" w:cs="宋体"/>
          <w:spacing w:val="-5"/>
          <w:sz w:val="21"/>
          <w:szCs w:val="21"/>
        </w:rPr>
        <w:t>用于扑救中</w:t>
      </w:r>
      <w:r>
        <w:rPr>
          <w:rFonts w:ascii="宋体" w:hAnsi="宋体" w:eastAsia="宋体" w:cs="宋体"/>
          <w:spacing w:val="-6"/>
          <w:sz w:val="21"/>
          <w:szCs w:val="21"/>
        </w:rPr>
        <w:t>危险级场所火灾时，单台灭火装置的流量不应小于10</w:t>
      </w:r>
      <w:r>
        <w:rPr>
          <w:rFonts w:ascii="Times New Roman" w:hAnsi="Times New Roman" w:eastAsia="Times New Roman" w:cs="Times New Roman"/>
          <w:spacing w:val="-6"/>
          <w:sz w:val="21"/>
          <w:szCs w:val="21"/>
        </w:rPr>
        <w:t>L/s</w:t>
      </w:r>
      <w:r>
        <w:rPr>
          <w:rFonts w:ascii="宋体" w:hAnsi="宋体" w:eastAsia="宋体" w:cs="宋体"/>
          <w:spacing w:val="-6"/>
          <w:sz w:val="21"/>
          <w:szCs w:val="21"/>
        </w:rPr>
        <w:t>。</w:t>
      </w:r>
    </w:p>
    <w:p>
      <w:pPr>
        <w:spacing w:before="2" w:line="283" w:lineRule="auto"/>
        <w:ind w:right="40"/>
        <w:jc w:val="both"/>
        <w:rPr>
          <w:rFonts w:ascii="宋体" w:hAnsi="宋体" w:eastAsia="宋体" w:cs="宋体"/>
          <w:sz w:val="21"/>
          <w:szCs w:val="21"/>
        </w:rPr>
      </w:pPr>
      <w:r>
        <w:rPr>
          <w:rFonts w:ascii="宋体" w:hAnsi="宋体" w:eastAsia="宋体" w:cs="宋体"/>
          <w:spacing w:val="2"/>
          <w:sz w:val="21"/>
          <w:szCs w:val="21"/>
        </w:rPr>
        <w:t>7.0.6喷洒型自动射流灭火系统的灭火装置布置应能使射流完</w:t>
      </w:r>
      <w:r>
        <w:rPr>
          <w:rFonts w:ascii="宋体" w:hAnsi="宋体" w:eastAsia="宋体" w:cs="宋体"/>
          <w:spacing w:val="23"/>
          <w:sz w:val="21"/>
          <w:szCs w:val="21"/>
        </w:rPr>
        <w:t>全覆盖被保护场所及被保护物。系统的设计参数不应低于</w:t>
      </w:r>
      <w:r>
        <w:rPr>
          <w:rFonts w:ascii="宋体" w:hAnsi="宋体" w:eastAsia="宋体" w:cs="宋体"/>
          <w:spacing w:val="8"/>
          <w:sz w:val="21"/>
          <w:szCs w:val="21"/>
        </w:rPr>
        <w:t>表7.0.6的规定。</w:t>
      </w:r>
    </w:p>
    <w:p>
      <w:pPr>
        <w:spacing w:before="38" w:line="221" w:lineRule="auto"/>
        <w:ind w:left="1072"/>
        <w:rPr>
          <w:rFonts w:ascii="黑体" w:hAnsi="黑体" w:eastAsia="黑体" w:cs="黑体"/>
          <w:sz w:val="21"/>
          <w:szCs w:val="21"/>
        </w:rPr>
      </w:pPr>
      <w:r>
        <w:rPr>
          <w:rFonts w:ascii="黑体" w:hAnsi="黑体" w:eastAsia="黑体" w:cs="黑体"/>
          <w:b/>
          <w:bCs/>
          <w:spacing w:val="-18"/>
          <w:w w:val="96"/>
          <w:sz w:val="21"/>
          <w:szCs w:val="21"/>
        </w:rPr>
        <w:t>表7.0.6喷洒型自动射流灭火系统的设计参数</w:t>
      </w:r>
    </w:p>
    <w:p>
      <w:pPr>
        <w:spacing w:line="69" w:lineRule="exact"/>
      </w:pPr>
    </w:p>
    <w:tbl>
      <w:tblPr>
        <w:tblStyle w:val="5"/>
        <w:tblW w:w="583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2"/>
        <w:gridCol w:w="639"/>
        <w:gridCol w:w="1268"/>
        <w:gridCol w:w="1438"/>
        <w:gridCol w:w="10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071" w:type="dxa"/>
            <w:gridSpan w:val="2"/>
            <w:vAlign w:val="top"/>
          </w:tcPr>
          <w:p>
            <w:pPr>
              <w:pStyle w:val="6"/>
              <w:spacing w:before="241" w:line="219" w:lineRule="auto"/>
              <w:ind w:left="145"/>
              <w:rPr>
                <w:sz w:val="16"/>
                <w:szCs w:val="16"/>
              </w:rPr>
            </w:pPr>
            <w:r>
              <w:rPr>
                <w:spacing w:val="-1"/>
                <w:sz w:val="16"/>
                <w:szCs w:val="16"/>
              </w:rPr>
              <w:t>保护场所的火灾危险等级</w:t>
            </w:r>
          </w:p>
        </w:tc>
        <w:tc>
          <w:tcPr>
            <w:tcW w:w="1268" w:type="dxa"/>
            <w:vAlign w:val="top"/>
          </w:tcPr>
          <w:p>
            <w:pPr>
              <w:pStyle w:val="6"/>
              <w:spacing w:before="121" w:line="244" w:lineRule="auto"/>
              <w:ind w:left="184" w:right="158" w:firstLine="39"/>
              <w:rPr>
                <w:sz w:val="16"/>
                <w:szCs w:val="16"/>
              </w:rPr>
            </w:pPr>
            <w:r>
              <w:rPr>
                <w:spacing w:val="-2"/>
                <w:sz w:val="16"/>
                <w:szCs w:val="16"/>
              </w:rPr>
              <w:t>保护场所的</w:t>
            </w:r>
            <w:r>
              <w:rPr>
                <w:spacing w:val="5"/>
                <w:sz w:val="16"/>
                <w:szCs w:val="16"/>
              </w:rPr>
              <w:t>净空高度(m)</w:t>
            </w:r>
          </w:p>
        </w:tc>
        <w:tc>
          <w:tcPr>
            <w:tcW w:w="1438" w:type="dxa"/>
            <w:vAlign w:val="top"/>
          </w:tcPr>
          <w:p>
            <w:pPr>
              <w:pStyle w:val="6"/>
              <w:spacing w:before="121" w:line="219" w:lineRule="auto"/>
              <w:ind w:left="395"/>
              <w:rPr>
                <w:sz w:val="16"/>
                <w:szCs w:val="16"/>
              </w:rPr>
            </w:pPr>
            <w:r>
              <w:rPr>
                <w:spacing w:val="2"/>
                <w:sz w:val="16"/>
                <w:szCs w:val="16"/>
              </w:rPr>
              <w:t>喷水强度</w:t>
            </w:r>
          </w:p>
          <w:p>
            <w:pPr>
              <w:pStyle w:val="6"/>
              <w:spacing w:before="32" w:line="222" w:lineRule="auto"/>
              <w:ind w:left="156"/>
              <w:rPr>
                <w:sz w:val="16"/>
                <w:szCs w:val="16"/>
              </w:rPr>
            </w:pPr>
            <w:r>
              <w:rPr>
                <w:spacing w:val="-8"/>
                <w:sz w:val="16"/>
                <w:szCs w:val="16"/>
              </w:rPr>
              <w:t>[L/(min·m²)]</w:t>
            </w:r>
          </w:p>
        </w:tc>
        <w:tc>
          <w:tcPr>
            <w:tcW w:w="1053" w:type="dxa"/>
            <w:vAlign w:val="top"/>
          </w:tcPr>
          <w:p>
            <w:pPr>
              <w:pStyle w:val="6"/>
              <w:spacing w:before="112" w:line="220" w:lineRule="auto"/>
              <w:ind w:left="198"/>
              <w:rPr>
                <w:sz w:val="16"/>
                <w:szCs w:val="16"/>
              </w:rPr>
            </w:pPr>
            <w:r>
              <w:rPr>
                <w:spacing w:val="-2"/>
                <w:sz w:val="16"/>
                <w:szCs w:val="16"/>
              </w:rPr>
              <w:t>作用面积</w:t>
            </w:r>
          </w:p>
          <w:p>
            <w:pPr>
              <w:pStyle w:val="6"/>
              <w:spacing w:before="31" w:line="222" w:lineRule="auto"/>
              <w:ind w:left="318"/>
              <w:rPr>
                <w:sz w:val="16"/>
                <w:szCs w:val="16"/>
              </w:rPr>
            </w:pPr>
            <w:r>
              <w:rPr>
                <w:spacing w:val="-7"/>
                <w:sz w:val="16"/>
                <w:szCs w:val="16"/>
              </w:rPr>
              <w:t>(m²)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2071" w:type="dxa"/>
            <w:gridSpan w:val="2"/>
            <w:vAlign w:val="top"/>
          </w:tcPr>
          <w:p>
            <w:pPr>
              <w:pStyle w:val="6"/>
              <w:spacing w:before="81" w:line="219" w:lineRule="auto"/>
              <w:ind w:left="705"/>
              <w:rPr>
                <w:sz w:val="16"/>
                <w:szCs w:val="16"/>
              </w:rPr>
            </w:pPr>
            <w:r>
              <w:rPr>
                <w:spacing w:val="-2"/>
                <w:sz w:val="16"/>
                <w:szCs w:val="16"/>
              </w:rPr>
              <w:t>轻危险级</w:t>
            </w:r>
          </w:p>
        </w:tc>
        <w:tc>
          <w:tcPr>
            <w:tcW w:w="1268" w:type="dxa"/>
            <w:vMerge w:val="restart"/>
            <w:tcBorders>
              <w:bottom w:val="nil"/>
            </w:tcBorders>
            <w:vAlign w:val="top"/>
          </w:tcPr>
          <w:p>
            <w:pPr>
              <w:spacing w:line="351" w:lineRule="auto"/>
              <w:rPr>
                <w:rFonts w:ascii="Arial"/>
                <w:sz w:val="21"/>
              </w:rPr>
            </w:pPr>
          </w:p>
          <w:p>
            <w:pPr>
              <w:pStyle w:val="6"/>
              <w:spacing w:before="52" w:line="236" w:lineRule="auto"/>
              <w:ind w:left="464"/>
              <w:rPr>
                <w:sz w:val="16"/>
                <w:szCs w:val="16"/>
              </w:rPr>
            </w:pPr>
            <w:r>
              <w:rPr>
                <w:spacing w:val="-5"/>
                <w:sz w:val="16"/>
                <w:szCs w:val="16"/>
              </w:rPr>
              <w:t>≤25</w:t>
            </w:r>
          </w:p>
        </w:tc>
        <w:tc>
          <w:tcPr>
            <w:tcW w:w="1438" w:type="dxa"/>
            <w:vAlign w:val="top"/>
          </w:tcPr>
          <w:p>
            <w:pPr>
              <w:pStyle w:val="6"/>
              <w:spacing w:before="97" w:line="231" w:lineRule="auto"/>
              <w:ind w:left="676"/>
              <w:rPr>
                <w:sz w:val="16"/>
                <w:szCs w:val="16"/>
              </w:rPr>
            </w:pPr>
            <w:r>
              <w:rPr>
                <w:sz w:val="16"/>
                <w:szCs w:val="16"/>
              </w:rPr>
              <w:t>4</w:t>
            </w:r>
          </w:p>
        </w:tc>
        <w:tc>
          <w:tcPr>
            <w:tcW w:w="1053" w:type="dxa"/>
            <w:vMerge w:val="restart"/>
            <w:tcBorders>
              <w:bottom w:val="nil"/>
            </w:tcBorders>
            <w:vAlign w:val="top"/>
          </w:tcPr>
          <w:p>
            <w:pPr>
              <w:spacing w:line="352" w:lineRule="auto"/>
              <w:rPr>
                <w:rFonts w:ascii="Arial"/>
                <w:sz w:val="21"/>
              </w:rPr>
            </w:pPr>
          </w:p>
          <w:p>
            <w:pPr>
              <w:pStyle w:val="6"/>
              <w:spacing w:before="52"/>
              <w:ind w:left="398"/>
              <w:rPr>
                <w:sz w:val="16"/>
                <w:szCs w:val="16"/>
              </w:rPr>
            </w:pPr>
            <w:r>
              <w:rPr>
                <w:spacing w:val="-3"/>
                <w:sz w:val="16"/>
                <w:szCs w:val="16"/>
              </w:rPr>
              <w:t>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432" w:type="dxa"/>
            <w:vMerge w:val="restart"/>
            <w:tcBorders>
              <w:bottom w:val="nil"/>
            </w:tcBorders>
            <w:vAlign w:val="top"/>
          </w:tcPr>
          <w:p>
            <w:pPr>
              <w:pStyle w:val="6"/>
              <w:spacing w:before="234" w:line="220" w:lineRule="auto"/>
              <w:ind w:left="384"/>
              <w:rPr>
                <w:sz w:val="16"/>
                <w:szCs w:val="16"/>
              </w:rPr>
            </w:pPr>
            <w:r>
              <w:rPr>
                <w:spacing w:val="2"/>
                <w:sz w:val="16"/>
                <w:szCs w:val="16"/>
              </w:rPr>
              <w:t>中危险级</w:t>
            </w:r>
          </w:p>
        </w:tc>
        <w:tc>
          <w:tcPr>
            <w:tcW w:w="639" w:type="dxa"/>
            <w:vAlign w:val="top"/>
          </w:tcPr>
          <w:p>
            <w:pPr>
              <w:pStyle w:val="6"/>
              <w:spacing w:before="85" w:line="221" w:lineRule="auto"/>
              <w:ind w:left="192"/>
              <w:rPr>
                <w:sz w:val="16"/>
                <w:szCs w:val="16"/>
              </w:rPr>
            </w:pPr>
            <w:r>
              <w:rPr>
                <w:spacing w:val="4"/>
                <w:sz w:val="16"/>
                <w:szCs w:val="16"/>
              </w:rPr>
              <w:t>I级</w:t>
            </w:r>
          </w:p>
        </w:tc>
        <w:tc>
          <w:tcPr>
            <w:tcW w:w="1268" w:type="dxa"/>
            <w:vMerge w:val="continue"/>
            <w:tcBorders>
              <w:top w:val="nil"/>
              <w:bottom w:val="nil"/>
            </w:tcBorders>
            <w:vAlign w:val="top"/>
          </w:tcPr>
          <w:p>
            <w:pPr>
              <w:rPr>
                <w:rFonts w:ascii="Arial"/>
                <w:sz w:val="21"/>
              </w:rPr>
            </w:pPr>
          </w:p>
        </w:tc>
        <w:tc>
          <w:tcPr>
            <w:tcW w:w="1438" w:type="dxa"/>
            <w:vAlign w:val="top"/>
          </w:tcPr>
          <w:p>
            <w:pPr>
              <w:pStyle w:val="6"/>
              <w:spacing w:before="99" w:line="229" w:lineRule="auto"/>
              <w:ind w:left="676"/>
              <w:rPr>
                <w:sz w:val="16"/>
                <w:szCs w:val="16"/>
              </w:rPr>
            </w:pPr>
            <w:r>
              <w:rPr>
                <w:sz w:val="16"/>
                <w:szCs w:val="16"/>
              </w:rPr>
              <w:t>6</w:t>
            </w:r>
          </w:p>
        </w:tc>
        <w:tc>
          <w:tcPr>
            <w:tcW w:w="1053"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32" w:type="dxa"/>
            <w:vMerge w:val="continue"/>
            <w:tcBorders>
              <w:top w:val="nil"/>
            </w:tcBorders>
            <w:vAlign w:val="top"/>
          </w:tcPr>
          <w:p>
            <w:pPr>
              <w:rPr>
                <w:rFonts w:ascii="Arial"/>
                <w:sz w:val="21"/>
              </w:rPr>
            </w:pPr>
          </w:p>
        </w:tc>
        <w:tc>
          <w:tcPr>
            <w:tcW w:w="639" w:type="dxa"/>
            <w:vAlign w:val="top"/>
          </w:tcPr>
          <w:p>
            <w:pPr>
              <w:pStyle w:val="6"/>
              <w:spacing w:before="77" w:line="221" w:lineRule="auto"/>
              <w:ind w:left="153"/>
              <w:rPr>
                <w:sz w:val="16"/>
                <w:szCs w:val="16"/>
              </w:rPr>
            </w:pPr>
            <w:r>
              <w:rPr>
                <w:spacing w:val="-17"/>
                <w:sz w:val="16"/>
                <w:szCs w:val="16"/>
              </w:rPr>
              <w:t>Ⅱ级</w:t>
            </w:r>
          </w:p>
        </w:tc>
        <w:tc>
          <w:tcPr>
            <w:tcW w:w="1268" w:type="dxa"/>
            <w:vMerge w:val="continue"/>
            <w:tcBorders>
              <w:top w:val="nil"/>
            </w:tcBorders>
            <w:vAlign w:val="top"/>
          </w:tcPr>
          <w:p>
            <w:pPr>
              <w:rPr>
                <w:rFonts w:ascii="Arial"/>
                <w:sz w:val="21"/>
              </w:rPr>
            </w:pPr>
          </w:p>
        </w:tc>
        <w:tc>
          <w:tcPr>
            <w:tcW w:w="1438" w:type="dxa"/>
            <w:vAlign w:val="top"/>
          </w:tcPr>
          <w:p>
            <w:pPr>
              <w:pStyle w:val="6"/>
              <w:spacing w:before="91" w:line="233" w:lineRule="auto"/>
              <w:ind w:left="676"/>
              <w:rPr>
                <w:sz w:val="16"/>
                <w:szCs w:val="16"/>
              </w:rPr>
            </w:pPr>
            <w:r>
              <w:rPr>
                <w:sz w:val="16"/>
                <w:szCs w:val="16"/>
              </w:rPr>
              <w:t>8</w:t>
            </w:r>
          </w:p>
        </w:tc>
        <w:tc>
          <w:tcPr>
            <w:tcW w:w="1053" w:type="dxa"/>
            <w:vMerge w:val="continue"/>
            <w:tcBorders>
              <w:top w:val="nil"/>
            </w:tcBorders>
            <w:vAlign w:val="top"/>
          </w:tcPr>
          <w:p>
            <w:pPr>
              <w:rPr>
                <w:rFonts w:ascii="Arial"/>
                <w:sz w:val="21"/>
              </w:rPr>
            </w:pPr>
          </w:p>
        </w:tc>
      </w:tr>
    </w:tbl>
    <w:p>
      <w:pPr>
        <w:spacing w:before="192" w:line="283" w:lineRule="auto"/>
        <w:ind w:right="24"/>
        <w:jc w:val="both"/>
        <w:rPr>
          <w:rFonts w:ascii="宋体" w:hAnsi="宋体" w:eastAsia="宋体" w:cs="宋体"/>
          <w:sz w:val="21"/>
          <w:szCs w:val="21"/>
        </w:rPr>
      </w:pPr>
      <w:r>
        <w:rPr>
          <w:rFonts w:ascii="宋体" w:hAnsi="宋体" w:eastAsia="宋体" w:cs="宋体"/>
          <w:spacing w:val="10"/>
          <w:sz w:val="21"/>
          <w:szCs w:val="21"/>
        </w:rPr>
        <w:t>7.0.7喷洒型自动射流灭火系统灭火装置</w:t>
      </w:r>
      <w:r>
        <w:rPr>
          <w:rFonts w:ascii="宋体" w:hAnsi="宋体" w:eastAsia="宋体" w:cs="宋体"/>
          <w:spacing w:val="9"/>
          <w:sz w:val="21"/>
          <w:szCs w:val="21"/>
        </w:rPr>
        <w:t>的设计同时开启数</w:t>
      </w:r>
      <w:r>
        <w:rPr>
          <w:rFonts w:ascii="宋体" w:hAnsi="宋体" w:eastAsia="宋体" w:cs="宋体"/>
          <w:spacing w:val="-2"/>
          <w:sz w:val="21"/>
          <w:szCs w:val="21"/>
        </w:rPr>
        <w:t>量，应按保护场所内任何一点着火时，可能开启射流的灭火装置</w:t>
      </w:r>
      <w:r>
        <w:rPr>
          <w:rFonts w:ascii="宋体" w:hAnsi="宋体" w:eastAsia="宋体" w:cs="宋体"/>
          <w:spacing w:val="-1"/>
          <w:sz w:val="21"/>
          <w:szCs w:val="21"/>
        </w:rPr>
        <w:t>的最大数量确定，且应符合表7.0.7的规定。</w:t>
      </w:r>
    </w:p>
    <w:p>
      <w:pPr>
        <w:spacing w:before="60" w:line="221" w:lineRule="auto"/>
        <w:ind w:left="82"/>
        <w:rPr>
          <w:rFonts w:ascii="黑体" w:hAnsi="黑体" w:eastAsia="黑体" w:cs="黑体"/>
          <w:sz w:val="21"/>
          <w:szCs w:val="21"/>
        </w:rPr>
      </w:pPr>
      <w:r>
        <w:rPr>
          <w:rFonts w:ascii="黑体" w:hAnsi="黑体" w:eastAsia="黑体" w:cs="黑体"/>
          <w:b/>
          <w:bCs/>
          <w:spacing w:val="-18"/>
          <w:w w:val="96"/>
          <w:sz w:val="21"/>
          <w:szCs w:val="21"/>
        </w:rPr>
        <w:t>表7.0.7喷洒型自动射流灭火系统灭火装置的设计同时开启数量</w:t>
      </w:r>
      <w:r>
        <w:rPr>
          <w:rFonts w:ascii="Times New Roman" w:hAnsi="Times New Roman" w:eastAsia="Times New Roman" w:cs="Times New Roman"/>
          <w:b/>
          <w:bCs/>
          <w:spacing w:val="-18"/>
          <w:w w:val="96"/>
          <w:sz w:val="21"/>
          <w:szCs w:val="21"/>
        </w:rPr>
        <w:t>N</w:t>
      </w:r>
      <w:r>
        <w:rPr>
          <w:rFonts w:ascii="黑体" w:hAnsi="黑体" w:eastAsia="黑体" w:cs="黑体"/>
          <w:b/>
          <w:bCs/>
          <w:spacing w:val="-18"/>
          <w:w w:val="96"/>
          <w:sz w:val="21"/>
          <w:szCs w:val="21"/>
        </w:rPr>
        <w:t>(台)</w:t>
      </w:r>
    </w:p>
    <w:p>
      <w:pPr>
        <w:spacing w:line="50" w:lineRule="exact"/>
      </w:pPr>
    </w:p>
    <w:tbl>
      <w:tblPr>
        <w:tblStyle w:val="5"/>
        <w:tblW w:w="5829"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958"/>
        <w:gridCol w:w="1747"/>
        <w:gridCol w:w="1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230" w:type="dxa"/>
            <w:gridSpan w:val="2"/>
            <w:vMerge w:val="restart"/>
            <w:tcBorders>
              <w:bottom w:val="nil"/>
            </w:tcBorders>
            <w:vAlign w:val="top"/>
          </w:tcPr>
          <w:p>
            <w:pPr>
              <w:pStyle w:val="6"/>
              <w:spacing w:before="232" w:line="219" w:lineRule="auto"/>
              <w:ind w:left="175"/>
            </w:pPr>
            <w:r>
              <w:rPr>
                <w:spacing w:val="-1"/>
              </w:rPr>
              <w:t>保护场所的火灾危险等级</w:t>
            </w:r>
          </w:p>
        </w:tc>
        <w:tc>
          <w:tcPr>
            <w:tcW w:w="3599" w:type="dxa"/>
            <w:gridSpan w:val="2"/>
            <w:vAlign w:val="top"/>
          </w:tcPr>
          <w:p>
            <w:pPr>
              <w:pStyle w:val="6"/>
              <w:spacing w:before="72" w:line="219" w:lineRule="auto"/>
              <w:ind w:left="884"/>
            </w:pPr>
            <w:r>
              <w:rPr>
                <w:spacing w:val="2"/>
              </w:rPr>
              <w:t>灭火装置的流量规格(L/s)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2230" w:type="dxa"/>
            <w:gridSpan w:val="2"/>
            <w:vMerge w:val="continue"/>
            <w:tcBorders>
              <w:top w:val="nil"/>
            </w:tcBorders>
            <w:vAlign w:val="top"/>
          </w:tcPr>
          <w:p>
            <w:pPr>
              <w:rPr>
                <w:rFonts w:ascii="Arial"/>
                <w:sz w:val="21"/>
              </w:rPr>
            </w:pPr>
          </w:p>
        </w:tc>
        <w:tc>
          <w:tcPr>
            <w:tcW w:w="1747" w:type="dxa"/>
            <w:vAlign w:val="top"/>
          </w:tcPr>
          <w:p>
            <w:pPr>
              <w:pStyle w:val="6"/>
              <w:spacing w:before="87" w:line="218" w:lineRule="auto"/>
              <w:ind w:left="824"/>
            </w:pPr>
            <w:r>
              <w:t>5</w:t>
            </w:r>
          </w:p>
        </w:tc>
        <w:tc>
          <w:tcPr>
            <w:tcW w:w="1852" w:type="dxa"/>
            <w:vAlign w:val="top"/>
          </w:tcPr>
          <w:p>
            <w:pPr>
              <w:pStyle w:val="6"/>
              <w:spacing w:before="87" w:line="218" w:lineRule="auto"/>
              <w:ind w:left="837"/>
            </w:pPr>
            <w:r>
              <w:rPr>
                <w:spacing w:val="-5"/>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2230" w:type="dxa"/>
            <w:gridSpan w:val="2"/>
            <w:vAlign w:val="top"/>
          </w:tcPr>
          <w:p>
            <w:pPr>
              <w:pStyle w:val="6"/>
              <w:spacing w:before="72" w:line="219" w:lineRule="auto"/>
              <w:ind w:left="764"/>
            </w:pPr>
            <w:r>
              <w:rPr>
                <w:spacing w:val="-2"/>
              </w:rPr>
              <w:t>轻危险级</w:t>
            </w:r>
          </w:p>
        </w:tc>
        <w:tc>
          <w:tcPr>
            <w:tcW w:w="1747" w:type="dxa"/>
            <w:vAlign w:val="top"/>
          </w:tcPr>
          <w:p>
            <w:pPr>
              <w:pStyle w:val="6"/>
              <w:spacing w:before="87" w:line="229" w:lineRule="auto"/>
              <w:ind w:left="564"/>
            </w:pPr>
            <w:r>
              <w:rPr>
                <w:spacing w:val="-2"/>
              </w:rPr>
              <w:t>4≤N≤6</w:t>
            </w:r>
          </w:p>
        </w:tc>
        <w:tc>
          <w:tcPr>
            <w:tcW w:w="1852" w:type="dxa"/>
            <w:vAlign w:val="top"/>
          </w:tcPr>
          <w:p>
            <w:pPr>
              <w:pStyle w:val="6"/>
              <w:spacing w:before="75" w:line="223" w:lineRule="auto"/>
              <w:ind w:left="407"/>
            </w:pPr>
            <w:r>
              <w:rPr>
                <w:spacing w:val="-5"/>
              </w:rPr>
              <w:t>N=2或N=3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272" w:type="dxa"/>
            <w:vMerge w:val="restart"/>
            <w:tcBorders>
              <w:bottom w:val="nil"/>
            </w:tcBorders>
            <w:vAlign w:val="top"/>
          </w:tcPr>
          <w:p>
            <w:pPr>
              <w:pStyle w:val="6"/>
              <w:spacing w:before="234" w:line="220" w:lineRule="auto"/>
              <w:ind w:left="315"/>
            </w:pPr>
            <w:r>
              <w:rPr>
                <w:spacing w:val="2"/>
              </w:rPr>
              <w:t>中危险级</w:t>
            </w:r>
          </w:p>
        </w:tc>
        <w:tc>
          <w:tcPr>
            <w:tcW w:w="958" w:type="dxa"/>
            <w:vAlign w:val="top"/>
          </w:tcPr>
          <w:p>
            <w:pPr>
              <w:pStyle w:val="6"/>
              <w:spacing w:before="76" w:line="221" w:lineRule="auto"/>
              <w:ind w:left="342"/>
            </w:pPr>
            <w:r>
              <w:rPr>
                <w:spacing w:val="2"/>
              </w:rPr>
              <w:t>I级</w:t>
            </w:r>
          </w:p>
        </w:tc>
        <w:tc>
          <w:tcPr>
            <w:tcW w:w="1747" w:type="dxa"/>
            <w:vAlign w:val="top"/>
          </w:tcPr>
          <w:p>
            <w:pPr>
              <w:pStyle w:val="6"/>
              <w:spacing w:before="88" w:line="227" w:lineRule="auto"/>
              <w:ind w:left="564"/>
            </w:pPr>
            <w:r>
              <w:rPr>
                <w:spacing w:val="-2"/>
              </w:rPr>
              <w:t>6≤N≤9</w:t>
            </w:r>
          </w:p>
        </w:tc>
        <w:tc>
          <w:tcPr>
            <w:tcW w:w="1852" w:type="dxa"/>
            <w:vAlign w:val="top"/>
          </w:tcPr>
          <w:p>
            <w:pPr>
              <w:pStyle w:val="6"/>
              <w:spacing w:before="88" w:line="227" w:lineRule="auto"/>
              <w:ind w:left="617"/>
            </w:pPr>
            <w:r>
              <w:rPr>
                <w:spacing w:val="-2"/>
              </w:rPr>
              <w:t>3≤N≤5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272" w:type="dxa"/>
            <w:vMerge w:val="continue"/>
            <w:tcBorders>
              <w:top w:val="nil"/>
            </w:tcBorders>
            <w:vAlign w:val="top"/>
          </w:tcPr>
          <w:p>
            <w:pPr>
              <w:rPr>
                <w:rFonts w:ascii="Arial"/>
                <w:sz w:val="21"/>
              </w:rPr>
            </w:pPr>
          </w:p>
        </w:tc>
        <w:tc>
          <w:tcPr>
            <w:tcW w:w="958" w:type="dxa"/>
            <w:vAlign w:val="top"/>
          </w:tcPr>
          <w:p>
            <w:pPr>
              <w:pStyle w:val="6"/>
              <w:spacing w:before="78" w:line="221" w:lineRule="auto"/>
              <w:ind w:left="302"/>
            </w:pPr>
            <w:r>
              <w:rPr>
                <w:spacing w:val="-18"/>
              </w:rPr>
              <w:t>Ⅱ级</w:t>
            </w:r>
          </w:p>
        </w:tc>
        <w:tc>
          <w:tcPr>
            <w:tcW w:w="1747" w:type="dxa"/>
            <w:vAlign w:val="top"/>
          </w:tcPr>
          <w:p>
            <w:pPr>
              <w:pStyle w:val="6"/>
              <w:spacing w:before="91" w:line="230" w:lineRule="auto"/>
              <w:ind w:left="524"/>
            </w:pPr>
            <w:r>
              <w:rPr>
                <w:spacing w:val="-2"/>
              </w:rPr>
              <w:t>8≤N≤12</w:t>
            </w:r>
          </w:p>
        </w:tc>
        <w:tc>
          <w:tcPr>
            <w:tcW w:w="1852" w:type="dxa"/>
            <w:vAlign w:val="top"/>
          </w:tcPr>
          <w:p>
            <w:pPr>
              <w:pStyle w:val="6"/>
              <w:spacing w:before="91" w:line="230" w:lineRule="auto"/>
              <w:ind w:left="617"/>
            </w:pPr>
            <w:r>
              <w:rPr>
                <w:spacing w:val="-2"/>
              </w:rPr>
              <w:t>4≤N≤6</w:t>
            </w:r>
          </w:p>
        </w:tc>
      </w:tr>
    </w:tbl>
    <w:p>
      <w:pPr>
        <w:spacing w:before="92" w:line="233" w:lineRule="auto"/>
        <w:ind w:left="419" w:right="19" w:hanging="230"/>
        <w:rPr>
          <w:rFonts w:ascii="宋体" w:hAnsi="宋体" w:eastAsia="宋体" w:cs="宋体"/>
          <w:sz w:val="16"/>
          <w:szCs w:val="16"/>
        </w:rPr>
      </w:pPr>
      <w:r>
        <w:rPr>
          <w:rFonts w:ascii="宋体" w:hAnsi="宋体" w:eastAsia="宋体" w:cs="宋体"/>
          <w:sz w:val="16"/>
          <w:szCs w:val="16"/>
        </w:rPr>
        <w:t>注：当系统最大保护区的面积不大于本标准表7.0.6中规定的作</w:t>
      </w:r>
      <w:r>
        <w:rPr>
          <w:rFonts w:ascii="宋体" w:hAnsi="宋体" w:eastAsia="宋体" w:cs="宋体"/>
          <w:spacing w:val="-1"/>
          <w:sz w:val="16"/>
          <w:szCs w:val="16"/>
        </w:rPr>
        <w:t>用面积时，可按最</w:t>
      </w:r>
      <w:r>
        <w:rPr>
          <w:rFonts w:ascii="宋体" w:hAnsi="宋体" w:eastAsia="宋体" w:cs="宋体"/>
          <w:spacing w:val="-2"/>
          <w:sz w:val="16"/>
          <w:szCs w:val="16"/>
        </w:rPr>
        <w:t>大保护区面积对应的全部灭火装置数量确定。</w:t>
      </w:r>
    </w:p>
    <w:p>
      <w:pPr>
        <w:spacing w:before="147" w:line="255" w:lineRule="auto"/>
        <w:ind w:right="44" w:firstLine="3"/>
        <w:rPr>
          <w:rFonts w:ascii="宋体" w:hAnsi="宋体" w:eastAsia="宋体" w:cs="宋体"/>
          <w:sz w:val="21"/>
          <w:szCs w:val="21"/>
        </w:rPr>
      </w:pPr>
      <w:r>
        <w:rPr>
          <w:rFonts w:ascii="宋体" w:hAnsi="宋体" w:eastAsia="宋体" w:cs="宋体"/>
          <w:b/>
          <w:bCs/>
          <w:spacing w:val="1"/>
          <w:sz w:val="21"/>
          <w:szCs w:val="21"/>
        </w:rPr>
        <w:t>7.0.8</w:t>
      </w:r>
      <w:r>
        <w:rPr>
          <w:rFonts w:ascii="宋体" w:hAnsi="宋体" w:eastAsia="宋体" w:cs="宋体"/>
          <w:spacing w:val="1"/>
          <w:sz w:val="21"/>
          <w:szCs w:val="21"/>
        </w:rPr>
        <w:t>自动跟踪定位射流灭火系统的设计流量应为设计同时开</w:t>
      </w:r>
      <w:r>
        <w:rPr>
          <w:rFonts w:ascii="宋体" w:hAnsi="宋体" w:eastAsia="宋体" w:cs="宋体"/>
          <w:spacing w:val="-2"/>
          <w:sz w:val="21"/>
          <w:szCs w:val="21"/>
        </w:rPr>
        <w:t>启的灭火装置流量之和，且不应小于10L/s。</w:t>
      </w:r>
    </w:p>
    <w:p>
      <w:pPr>
        <w:spacing w:before="59" w:line="250" w:lineRule="auto"/>
        <w:ind w:right="35" w:firstLine="3"/>
        <w:rPr>
          <w:rFonts w:ascii="宋体" w:hAnsi="宋体" w:eastAsia="宋体" w:cs="宋体"/>
          <w:sz w:val="21"/>
          <w:szCs w:val="21"/>
        </w:rPr>
      </w:pPr>
      <w:r>
        <w:rPr>
          <w:rFonts w:ascii="宋体" w:hAnsi="宋体" w:eastAsia="宋体" w:cs="宋体"/>
          <w:b/>
          <w:bCs/>
          <w:spacing w:val="2"/>
          <w:sz w:val="21"/>
          <w:szCs w:val="21"/>
        </w:rPr>
        <w:t>7.0.9</w:t>
      </w:r>
      <w:r>
        <w:rPr>
          <w:rFonts w:ascii="宋体" w:hAnsi="宋体" w:eastAsia="宋体" w:cs="宋体"/>
          <w:spacing w:val="2"/>
          <w:sz w:val="21"/>
          <w:szCs w:val="21"/>
        </w:rPr>
        <w:t>自动跟踪定位射流灭火系统的设计持续喷水</w:t>
      </w:r>
      <w:r>
        <w:rPr>
          <w:rFonts w:ascii="宋体" w:hAnsi="宋体" w:eastAsia="宋体" w:cs="宋体"/>
          <w:spacing w:val="1"/>
          <w:sz w:val="21"/>
          <w:szCs w:val="21"/>
        </w:rPr>
        <w:t>时间应不小</w:t>
      </w:r>
      <w:r>
        <w:rPr>
          <w:rFonts w:ascii="宋体" w:hAnsi="宋体" w:eastAsia="宋体" w:cs="宋体"/>
          <w:spacing w:val="10"/>
          <w:sz w:val="21"/>
          <w:szCs w:val="21"/>
        </w:rPr>
        <w:t>于1.0</w:t>
      </w:r>
      <w:r>
        <w:rPr>
          <w:rFonts w:ascii="Times New Roman" w:hAnsi="Times New Roman" w:eastAsia="Times New Roman" w:cs="Times New Roman"/>
          <w:spacing w:val="10"/>
          <w:sz w:val="21"/>
          <w:szCs w:val="21"/>
        </w:rPr>
        <w:t>h</w:t>
      </w:r>
      <w:r>
        <w:rPr>
          <w:rFonts w:ascii="宋体" w:hAnsi="宋体" w:eastAsia="宋体" w:cs="宋体"/>
          <w:spacing w:val="10"/>
          <w:sz w:val="21"/>
          <w:szCs w:val="21"/>
        </w:rPr>
        <w:t>。</w:t>
      </w:r>
    </w:p>
    <w:p>
      <w:pPr>
        <w:spacing w:before="53" w:line="219" w:lineRule="auto"/>
        <w:ind w:left="3"/>
        <w:rPr>
          <w:rFonts w:ascii="宋体" w:hAnsi="宋体" w:eastAsia="宋体" w:cs="宋体"/>
          <w:sz w:val="21"/>
          <w:szCs w:val="21"/>
        </w:rPr>
      </w:pPr>
      <w:r>
        <w:rPr>
          <w:rFonts w:ascii="宋体" w:hAnsi="宋体" w:eastAsia="宋体" w:cs="宋体"/>
          <w:b/>
          <w:bCs/>
          <w:spacing w:val="-1"/>
          <w:sz w:val="21"/>
          <w:szCs w:val="21"/>
        </w:rPr>
        <w:t>7.0.10</w:t>
      </w:r>
      <w:r>
        <w:rPr>
          <w:rFonts w:ascii="宋体" w:hAnsi="宋体" w:eastAsia="宋体" w:cs="宋体"/>
          <w:spacing w:val="-1"/>
          <w:sz w:val="21"/>
          <w:szCs w:val="21"/>
        </w:rPr>
        <w:t>灭火装置的选用应符合下列规定：</w:t>
      </w:r>
    </w:p>
    <w:p>
      <w:pPr>
        <w:spacing w:before="68" w:line="219" w:lineRule="auto"/>
        <w:jc w:val="right"/>
        <w:rPr>
          <w:rFonts w:ascii="宋体" w:hAnsi="宋体" w:eastAsia="宋体" w:cs="宋体"/>
          <w:sz w:val="21"/>
          <w:szCs w:val="21"/>
        </w:rPr>
      </w:pPr>
      <w:r>
        <w:rPr>
          <w:rFonts w:ascii="宋体" w:hAnsi="宋体" w:eastAsia="宋体" w:cs="宋体"/>
          <w:b/>
          <w:bCs/>
          <w:sz w:val="21"/>
          <w:szCs w:val="21"/>
        </w:rPr>
        <w:t>1灭火装置的最大保护半径应按产品在额定工作压力时的</w:t>
      </w:r>
    </w:p>
    <w:p>
      <w:pPr>
        <w:spacing w:line="219" w:lineRule="auto"/>
        <w:rPr>
          <w:rFonts w:ascii="宋体" w:hAnsi="宋体" w:eastAsia="宋体" w:cs="宋体"/>
          <w:sz w:val="21"/>
          <w:szCs w:val="21"/>
        </w:rPr>
        <w:sectPr>
          <w:footerReference r:id="rId54" w:type="default"/>
          <w:pgSz w:w="8280" w:h="11850"/>
          <w:pgMar w:top="400" w:right="1196" w:bottom="1380" w:left="1200" w:header="0" w:footer="1107" w:gutter="0"/>
          <w:cols w:space="720" w:num="1"/>
        </w:sectPr>
      </w:pPr>
    </w:p>
    <w:p>
      <w:pPr>
        <w:pStyle w:val="2"/>
        <w:spacing w:line="277" w:lineRule="auto"/>
      </w:pPr>
    </w:p>
    <w:p>
      <w:pPr>
        <w:pStyle w:val="2"/>
        <w:spacing w:line="277" w:lineRule="auto"/>
      </w:pPr>
    </w:p>
    <w:p>
      <w:pPr>
        <w:pStyle w:val="2"/>
        <w:spacing w:line="278" w:lineRule="auto"/>
      </w:pPr>
    </w:p>
    <w:p>
      <w:pPr>
        <w:spacing w:before="68" w:line="219" w:lineRule="auto"/>
        <w:rPr>
          <w:rFonts w:ascii="宋体" w:hAnsi="宋体" w:eastAsia="宋体" w:cs="宋体"/>
          <w:sz w:val="21"/>
          <w:szCs w:val="21"/>
        </w:rPr>
      </w:pPr>
      <w:r>
        <w:rPr>
          <w:rFonts w:ascii="宋体" w:hAnsi="宋体" w:eastAsia="宋体" w:cs="宋体"/>
          <w:b/>
          <w:bCs/>
          <w:spacing w:val="-8"/>
          <w:sz w:val="21"/>
          <w:szCs w:val="21"/>
        </w:rPr>
        <w:t>指标值确定。</w:t>
      </w:r>
    </w:p>
    <w:p>
      <w:pPr>
        <w:spacing w:before="69" w:line="275" w:lineRule="auto"/>
        <w:ind w:firstLine="429"/>
        <w:rPr>
          <w:rFonts w:ascii="宋体" w:hAnsi="宋体" w:eastAsia="宋体" w:cs="宋体"/>
          <w:sz w:val="21"/>
          <w:szCs w:val="21"/>
        </w:rPr>
      </w:pPr>
      <w:r>
        <w:rPr>
          <w:rFonts w:ascii="宋体" w:hAnsi="宋体" w:eastAsia="宋体" w:cs="宋体"/>
          <w:b/>
          <w:bCs/>
          <w:spacing w:val="3"/>
          <w:sz w:val="21"/>
          <w:szCs w:val="21"/>
        </w:rPr>
        <w:t>2灭火装置的设计工作压力与产品额定工作压力不同时，</w:t>
      </w:r>
      <w:r>
        <w:rPr>
          <w:rFonts w:ascii="宋体" w:hAnsi="宋体" w:eastAsia="宋体" w:cs="宋体"/>
          <w:b/>
          <w:bCs/>
          <w:spacing w:val="-5"/>
          <w:sz w:val="21"/>
          <w:szCs w:val="21"/>
        </w:rPr>
        <w:t>应在产品规定的工作压力范围内选用。</w:t>
      </w:r>
    </w:p>
    <w:p>
      <w:pPr>
        <w:spacing w:before="5" w:line="288" w:lineRule="auto"/>
        <w:ind w:right="94"/>
        <w:rPr>
          <w:rFonts w:ascii="宋体" w:hAnsi="宋体" w:eastAsia="宋体" w:cs="宋体"/>
          <w:sz w:val="21"/>
          <w:szCs w:val="21"/>
        </w:rPr>
      </w:pPr>
      <w:r>
        <w:rPr>
          <w:rFonts w:ascii="宋体" w:hAnsi="宋体" w:eastAsia="宋体" w:cs="宋体"/>
          <w:b/>
          <w:bCs/>
          <w:spacing w:val="4"/>
          <w:sz w:val="21"/>
          <w:szCs w:val="21"/>
        </w:rPr>
        <w:t>7.0.11灭火装置与端墙之间的距离不</w:t>
      </w:r>
      <w:r>
        <w:rPr>
          <w:rFonts w:ascii="宋体" w:hAnsi="宋体" w:eastAsia="宋体" w:cs="宋体"/>
          <w:b/>
          <w:bCs/>
          <w:spacing w:val="3"/>
          <w:sz w:val="21"/>
          <w:szCs w:val="21"/>
        </w:rPr>
        <w:t>宜超过灭火装置同向布</w:t>
      </w:r>
      <w:r>
        <w:rPr>
          <w:rFonts w:ascii="宋体" w:hAnsi="宋体" w:eastAsia="宋体" w:cs="宋体"/>
          <w:b/>
          <w:bCs/>
          <w:spacing w:val="-1"/>
          <w:sz w:val="21"/>
          <w:szCs w:val="21"/>
        </w:rPr>
        <w:t>置间距的1/2。</w:t>
      </w:r>
    </w:p>
    <w:p>
      <w:pPr>
        <w:spacing w:line="288" w:lineRule="auto"/>
        <w:rPr>
          <w:rFonts w:ascii="宋体" w:hAnsi="宋体" w:eastAsia="宋体" w:cs="宋体"/>
          <w:sz w:val="21"/>
          <w:szCs w:val="21"/>
        </w:rPr>
        <w:sectPr>
          <w:footerReference r:id="rId55" w:type="default"/>
          <w:pgSz w:w="8280" w:h="11850"/>
          <w:pgMar w:top="400" w:right="1127" w:bottom="1371" w:left="1213" w:header="0" w:footer="1099" w:gutter="0"/>
          <w:cols w:space="720" w:num="1"/>
        </w:sectPr>
      </w:pPr>
    </w:p>
    <w:p>
      <w:pPr>
        <w:pStyle w:val="2"/>
        <w:spacing w:line="273" w:lineRule="auto"/>
      </w:pPr>
    </w:p>
    <w:p>
      <w:pPr>
        <w:pStyle w:val="2"/>
        <w:spacing w:line="273" w:lineRule="auto"/>
      </w:pPr>
    </w:p>
    <w:p>
      <w:pPr>
        <w:pStyle w:val="2"/>
        <w:spacing w:line="273" w:lineRule="auto"/>
      </w:pPr>
    </w:p>
    <w:p>
      <w:pPr>
        <w:pStyle w:val="2"/>
        <w:spacing w:line="273" w:lineRule="auto"/>
      </w:pPr>
    </w:p>
    <w:p>
      <w:pPr>
        <w:pStyle w:val="2"/>
        <w:spacing w:line="273" w:lineRule="auto"/>
      </w:pPr>
    </w:p>
    <w:p>
      <w:pPr>
        <w:spacing w:before="91" w:line="221" w:lineRule="auto"/>
        <w:ind w:left="1464"/>
        <w:outlineLvl w:val="0"/>
        <w:rPr>
          <w:rFonts w:ascii="黑体" w:hAnsi="黑体" w:eastAsia="黑体" w:cs="黑体"/>
          <w:sz w:val="28"/>
          <w:szCs w:val="28"/>
        </w:rPr>
      </w:pPr>
      <w:bookmarkStart w:id="41" w:name="bookmark28"/>
      <w:bookmarkEnd w:id="41"/>
      <w:r>
        <w:rPr>
          <w:rFonts w:ascii="宋体" w:hAnsi="宋体" w:eastAsia="宋体" w:cs="宋体"/>
          <w:b/>
          <w:bCs/>
          <w:spacing w:val="-3"/>
          <w:sz w:val="28"/>
          <w:szCs w:val="28"/>
        </w:rPr>
        <w:t>8</w:t>
      </w:r>
      <w:r>
        <w:rPr>
          <w:rFonts w:ascii="黑体" w:hAnsi="黑体" w:eastAsia="黑体" w:cs="黑体"/>
          <w:b/>
          <w:bCs/>
          <w:spacing w:val="-3"/>
          <w:sz w:val="28"/>
          <w:szCs w:val="28"/>
        </w:rPr>
        <w:t>其他灭火系统及装置</w:t>
      </w:r>
    </w:p>
    <w:p>
      <w:pPr>
        <w:pStyle w:val="2"/>
        <w:spacing w:line="291" w:lineRule="auto"/>
      </w:pPr>
    </w:p>
    <w:p>
      <w:pPr>
        <w:pStyle w:val="2"/>
        <w:spacing w:line="291" w:lineRule="auto"/>
      </w:pPr>
    </w:p>
    <w:p>
      <w:pPr>
        <w:spacing w:before="68" w:line="219" w:lineRule="auto"/>
        <w:ind w:left="2033"/>
        <w:outlineLvl w:val="1"/>
        <w:rPr>
          <w:rFonts w:ascii="宋体" w:hAnsi="宋体" w:eastAsia="宋体" w:cs="宋体"/>
          <w:sz w:val="21"/>
          <w:szCs w:val="21"/>
        </w:rPr>
      </w:pPr>
      <w:bookmarkStart w:id="42" w:name="bookmark29"/>
      <w:bookmarkEnd w:id="42"/>
      <w:r>
        <w:rPr>
          <w:rFonts w:ascii="宋体" w:hAnsi="宋体" w:eastAsia="宋体" w:cs="宋体"/>
          <w:b/>
          <w:bCs/>
          <w:spacing w:val="-2"/>
          <w:sz w:val="21"/>
          <w:szCs w:val="21"/>
        </w:rPr>
        <w:t>8.1氮气灭火系统</w:t>
      </w:r>
    </w:p>
    <w:p>
      <w:pPr>
        <w:pStyle w:val="2"/>
        <w:spacing w:line="306" w:lineRule="auto"/>
      </w:pPr>
    </w:p>
    <w:p>
      <w:pPr>
        <w:spacing w:before="68" w:line="224" w:lineRule="auto"/>
        <w:ind w:left="2349"/>
        <w:rPr>
          <w:rFonts w:ascii="仿宋" w:hAnsi="仿宋" w:eastAsia="仿宋" w:cs="仿宋"/>
          <w:sz w:val="21"/>
          <w:szCs w:val="21"/>
        </w:rPr>
      </w:pPr>
      <w:r>
        <w:rPr>
          <w:rFonts w:ascii="Times New Roman" w:hAnsi="Times New Roman" w:eastAsia="Times New Roman" w:cs="Times New Roman"/>
          <w:spacing w:val="-5"/>
          <w:sz w:val="21"/>
          <w:szCs w:val="21"/>
        </w:rPr>
        <w:t>I</w:t>
      </w:r>
      <w:r>
        <w:rPr>
          <w:rFonts w:ascii="仿宋" w:hAnsi="仿宋" w:eastAsia="仿宋" w:cs="仿宋"/>
          <w:spacing w:val="-5"/>
          <w:sz w:val="21"/>
          <w:szCs w:val="21"/>
        </w:rPr>
        <w:t>一般规定</w:t>
      </w:r>
    </w:p>
    <w:p>
      <w:pPr>
        <w:spacing w:before="164" w:line="259" w:lineRule="auto"/>
        <w:rPr>
          <w:rFonts w:ascii="宋体" w:hAnsi="宋体" w:eastAsia="宋体" w:cs="宋体"/>
          <w:sz w:val="21"/>
          <w:szCs w:val="21"/>
        </w:rPr>
      </w:pPr>
      <w:r>
        <w:rPr>
          <w:rFonts w:ascii="Times New Roman" w:hAnsi="Times New Roman" w:eastAsia="Times New Roman" w:cs="Times New Roman"/>
          <w:b/>
          <w:bCs/>
          <w:spacing w:val="1"/>
          <w:sz w:val="21"/>
          <w:szCs w:val="21"/>
        </w:rPr>
        <w:t>8.1.1</w:t>
      </w:r>
      <w:r>
        <w:rPr>
          <w:rFonts w:ascii="宋体" w:hAnsi="宋体" w:eastAsia="宋体" w:cs="宋体"/>
          <w:spacing w:val="1"/>
          <w:sz w:val="21"/>
          <w:szCs w:val="21"/>
        </w:rPr>
        <w:t>采用七氟丙烷灭火系统及</w:t>
      </w:r>
      <w:r>
        <w:rPr>
          <w:rFonts w:ascii="Times New Roman" w:hAnsi="Times New Roman" w:eastAsia="Times New Roman" w:cs="Times New Roman"/>
          <w:sz w:val="21"/>
          <w:szCs w:val="21"/>
        </w:rPr>
        <w:t>IG</w:t>
      </w:r>
      <w:r>
        <w:rPr>
          <w:rFonts w:ascii="Times New Roman" w:hAnsi="Times New Roman" w:eastAsia="Times New Roman" w:cs="Times New Roman"/>
          <w:spacing w:val="1"/>
          <w:sz w:val="21"/>
          <w:szCs w:val="21"/>
        </w:rPr>
        <w:t>-541</w:t>
      </w:r>
      <w:r>
        <w:rPr>
          <w:rFonts w:ascii="宋体" w:hAnsi="宋体" w:eastAsia="宋体" w:cs="宋体"/>
          <w:spacing w:val="1"/>
          <w:sz w:val="21"/>
          <w:szCs w:val="21"/>
        </w:rPr>
        <w:t>混合气体灭火系</w:t>
      </w:r>
      <w:r>
        <w:rPr>
          <w:rFonts w:ascii="宋体" w:hAnsi="宋体" w:eastAsia="宋体" w:cs="宋体"/>
          <w:sz w:val="21"/>
          <w:szCs w:val="21"/>
        </w:rPr>
        <w:t>统设计</w:t>
      </w:r>
      <w:r>
        <w:rPr>
          <w:rFonts w:ascii="宋体" w:hAnsi="宋体" w:eastAsia="宋体" w:cs="宋体"/>
          <w:spacing w:val="-11"/>
          <w:sz w:val="21"/>
          <w:szCs w:val="21"/>
        </w:rPr>
        <w:t>时，应按照现行国家标准《气体灭火系统设计规</w:t>
      </w:r>
      <w:r>
        <w:rPr>
          <w:rFonts w:ascii="宋体" w:hAnsi="宋体" w:eastAsia="宋体" w:cs="宋体"/>
          <w:spacing w:val="-12"/>
          <w:sz w:val="21"/>
          <w:szCs w:val="21"/>
        </w:rPr>
        <w:t>范》GB50370执行；</w:t>
      </w:r>
      <w:r>
        <w:rPr>
          <w:rFonts w:ascii="宋体" w:hAnsi="宋体" w:eastAsia="宋体" w:cs="宋体"/>
          <w:spacing w:val="-3"/>
          <w:sz w:val="21"/>
          <w:szCs w:val="21"/>
        </w:rPr>
        <w:t>采用储存压力为20</w:t>
      </w:r>
      <w:r>
        <w:rPr>
          <w:rFonts w:ascii="Times New Roman" w:hAnsi="Times New Roman" w:eastAsia="Times New Roman" w:cs="Times New Roman"/>
          <w:spacing w:val="-3"/>
          <w:sz w:val="21"/>
          <w:szCs w:val="21"/>
        </w:rPr>
        <w:t>MPa(20℃</w:t>
      </w:r>
      <w:r>
        <w:rPr>
          <w:rFonts w:ascii="宋体" w:hAnsi="宋体" w:eastAsia="宋体" w:cs="宋体"/>
          <w:spacing w:val="-3"/>
          <w:sz w:val="21"/>
          <w:szCs w:val="21"/>
        </w:rPr>
        <w:t>时)的氮气灭火系统设计时，应按本</w:t>
      </w:r>
      <w:r>
        <w:rPr>
          <w:rFonts w:ascii="宋体" w:hAnsi="宋体" w:eastAsia="宋体" w:cs="宋体"/>
          <w:spacing w:val="-7"/>
          <w:sz w:val="21"/>
          <w:szCs w:val="21"/>
        </w:rPr>
        <w:t>标准执行。</w:t>
      </w:r>
    </w:p>
    <w:p>
      <w:pPr>
        <w:spacing w:before="70" w:line="246" w:lineRule="auto"/>
        <w:ind w:right="64" w:firstLine="3"/>
        <w:rPr>
          <w:rFonts w:ascii="宋体" w:hAnsi="宋体" w:eastAsia="宋体" w:cs="宋体"/>
          <w:sz w:val="21"/>
          <w:szCs w:val="21"/>
        </w:rPr>
      </w:pPr>
      <w:r>
        <w:rPr>
          <w:rFonts w:ascii="宋体" w:hAnsi="宋体" w:eastAsia="宋体" w:cs="宋体"/>
          <w:b/>
          <w:bCs/>
          <w:spacing w:val="2"/>
          <w:sz w:val="21"/>
          <w:szCs w:val="21"/>
        </w:rPr>
        <w:t>8.1.2</w:t>
      </w:r>
      <w:r>
        <w:rPr>
          <w:rFonts w:ascii="宋体" w:hAnsi="宋体" w:eastAsia="宋体" w:cs="宋体"/>
          <w:spacing w:val="2"/>
          <w:sz w:val="21"/>
          <w:szCs w:val="21"/>
        </w:rPr>
        <w:t>氮气灭火系统应采用有管网灭火系统，并应根据建</w:t>
      </w:r>
      <w:r>
        <w:rPr>
          <w:rFonts w:ascii="宋体" w:hAnsi="宋体" w:eastAsia="宋体" w:cs="宋体"/>
          <w:spacing w:val="1"/>
          <w:sz w:val="21"/>
          <w:szCs w:val="21"/>
        </w:rPr>
        <w:t>筑物</w:t>
      </w:r>
      <w:r>
        <w:rPr>
          <w:rFonts w:ascii="宋体" w:hAnsi="宋体" w:eastAsia="宋体" w:cs="宋体"/>
          <w:spacing w:val="-2"/>
          <w:sz w:val="21"/>
          <w:szCs w:val="21"/>
        </w:rPr>
        <w:t>内防护区域的体积经计算设计。</w:t>
      </w:r>
    </w:p>
    <w:p>
      <w:pPr>
        <w:spacing w:before="70" w:line="219" w:lineRule="auto"/>
        <w:ind w:left="3"/>
        <w:rPr>
          <w:rFonts w:ascii="宋体" w:hAnsi="宋体" w:eastAsia="宋体" w:cs="宋体"/>
          <w:sz w:val="21"/>
          <w:szCs w:val="21"/>
        </w:rPr>
      </w:pPr>
      <w:r>
        <w:rPr>
          <w:rFonts w:ascii="宋体" w:hAnsi="宋体" w:eastAsia="宋体" w:cs="宋体"/>
          <w:b/>
          <w:bCs/>
          <w:spacing w:val="-2"/>
          <w:sz w:val="21"/>
          <w:szCs w:val="21"/>
        </w:rPr>
        <w:t>8.1.3</w:t>
      </w:r>
      <w:r>
        <w:rPr>
          <w:rFonts w:ascii="宋体" w:hAnsi="宋体" w:eastAsia="宋体" w:cs="宋体"/>
          <w:spacing w:val="-2"/>
          <w:sz w:val="21"/>
          <w:szCs w:val="21"/>
        </w:rPr>
        <w:t>氮气灭火系统适用于扑救下列火灾：</w:t>
      </w:r>
    </w:p>
    <w:p>
      <w:pPr>
        <w:spacing w:before="62" w:line="219" w:lineRule="auto"/>
        <w:ind w:left="422"/>
        <w:rPr>
          <w:rFonts w:ascii="宋体" w:hAnsi="宋体" w:eastAsia="宋体" w:cs="宋体"/>
          <w:sz w:val="21"/>
          <w:szCs w:val="21"/>
        </w:rPr>
      </w:pPr>
      <w:r>
        <w:rPr>
          <w:rFonts w:ascii="宋体" w:hAnsi="宋体" w:eastAsia="宋体" w:cs="宋体"/>
          <w:b/>
          <w:bCs/>
          <w:spacing w:val="-2"/>
          <w:sz w:val="21"/>
          <w:szCs w:val="21"/>
        </w:rPr>
        <w:t>1</w:t>
      </w:r>
      <w:r>
        <w:rPr>
          <w:rFonts w:ascii="宋体" w:hAnsi="宋体" w:eastAsia="宋体" w:cs="宋体"/>
          <w:spacing w:val="-2"/>
          <w:sz w:val="21"/>
          <w:szCs w:val="21"/>
        </w:rPr>
        <w:t>液体或可熔化固体火灾。</w:t>
      </w:r>
    </w:p>
    <w:p>
      <w:pPr>
        <w:spacing w:before="61" w:line="219" w:lineRule="auto"/>
        <w:ind w:left="422"/>
        <w:rPr>
          <w:rFonts w:ascii="宋体" w:hAnsi="宋体" w:eastAsia="宋体" w:cs="宋体"/>
          <w:sz w:val="21"/>
          <w:szCs w:val="21"/>
        </w:rPr>
      </w:pPr>
      <w:r>
        <w:rPr>
          <w:rFonts w:ascii="宋体" w:hAnsi="宋体" w:eastAsia="宋体" w:cs="宋体"/>
          <w:b/>
          <w:bCs/>
          <w:spacing w:val="-2"/>
          <w:sz w:val="21"/>
          <w:szCs w:val="21"/>
        </w:rPr>
        <w:t>2</w:t>
      </w:r>
      <w:r>
        <w:rPr>
          <w:rFonts w:ascii="宋体" w:hAnsi="宋体" w:eastAsia="宋体" w:cs="宋体"/>
          <w:spacing w:val="-2"/>
          <w:sz w:val="21"/>
          <w:szCs w:val="21"/>
        </w:rPr>
        <w:t>灭火前能切断气源的气体火灾。</w:t>
      </w:r>
    </w:p>
    <w:p>
      <w:pPr>
        <w:spacing w:before="61" w:line="219" w:lineRule="auto"/>
        <w:ind w:left="422"/>
        <w:rPr>
          <w:rFonts w:ascii="宋体" w:hAnsi="宋体" w:eastAsia="宋体" w:cs="宋体"/>
          <w:sz w:val="21"/>
          <w:szCs w:val="21"/>
        </w:rPr>
      </w:pPr>
      <w:r>
        <w:rPr>
          <w:rFonts w:ascii="宋体" w:hAnsi="宋体" w:eastAsia="宋体" w:cs="宋体"/>
          <w:b/>
          <w:bCs/>
          <w:spacing w:val="-4"/>
          <w:sz w:val="21"/>
          <w:szCs w:val="21"/>
        </w:rPr>
        <w:t>3</w:t>
      </w:r>
      <w:r>
        <w:rPr>
          <w:rFonts w:ascii="宋体" w:hAnsi="宋体" w:eastAsia="宋体" w:cs="宋体"/>
          <w:spacing w:val="-4"/>
          <w:sz w:val="21"/>
          <w:szCs w:val="21"/>
        </w:rPr>
        <w:t>固体表面火灾。</w:t>
      </w:r>
    </w:p>
    <w:p>
      <w:pPr>
        <w:spacing w:before="61" w:line="219" w:lineRule="auto"/>
        <w:ind w:left="422"/>
        <w:rPr>
          <w:rFonts w:ascii="宋体" w:hAnsi="宋体" w:eastAsia="宋体" w:cs="宋体"/>
          <w:sz w:val="21"/>
          <w:szCs w:val="21"/>
        </w:rPr>
      </w:pPr>
      <w:r>
        <w:rPr>
          <w:rFonts w:ascii="宋体" w:hAnsi="宋体" w:eastAsia="宋体" w:cs="宋体"/>
          <w:b/>
          <w:bCs/>
          <w:spacing w:val="-5"/>
          <w:sz w:val="21"/>
          <w:szCs w:val="21"/>
        </w:rPr>
        <w:t>4</w:t>
      </w:r>
      <w:r>
        <w:rPr>
          <w:rFonts w:ascii="宋体" w:hAnsi="宋体" w:eastAsia="宋体" w:cs="宋体"/>
          <w:spacing w:val="-5"/>
          <w:sz w:val="21"/>
          <w:szCs w:val="21"/>
        </w:rPr>
        <w:t>电气火灾。</w:t>
      </w:r>
    </w:p>
    <w:p>
      <w:pPr>
        <w:spacing w:before="79" w:line="219" w:lineRule="auto"/>
        <w:ind w:left="3"/>
        <w:rPr>
          <w:rFonts w:ascii="宋体" w:hAnsi="宋体" w:eastAsia="宋体" w:cs="宋体"/>
          <w:sz w:val="21"/>
          <w:szCs w:val="21"/>
        </w:rPr>
      </w:pPr>
      <w:r>
        <w:rPr>
          <w:rFonts w:ascii="宋体" w:hAnsi="宋体" w:eastAsia="宋体" w:cs="宋体"/>
          <w:b/>
          <w:bCs/>
          <w:spacing w:val="-2"/>
          <w:sz w:val="21"/>
          <w:szCs w:val="21"/>
        </w:rPr>
        <w:t>8.1.4</w:t>
      </w:r>
      <w:r>
        <w:rPr>
          <w:rFonts w:ascii="宋体" w:hAnsi="宋体" w:eastAsia="宋体" w:cs="宋体"/>
          <w:spacing w:val="-2"/>
          <w:sz w:val="21"/>
          <w:szCs w:val="21"/>
        </w:rPr>
        <w:t>氮气灭火系统不适用于扑救下列火灾：</w:t>
      </w:r>
    </w:p>
    <w:p>
      <w:pPr>
        <w:spacing w:before="61" w:line="219" w:lineRule="auto"/>
        <w:ind w:left="419"/>
        <w:rPr>
          <w:rFonts w:ascii="宋体" w:hAnsi="宋体" w:eastAsia="宋体" w:cs="宋体"/>
          <w:sz w:val="21"/>
          <w:szCs w:val="21"/>
        </w:rPr>
      </w:pPr>
      <w:r>
        <w:rPr>
          <w:rFonts w:ascii="宋体" w:hAnsi="宋体" w:eastAsia="宋体" w:cs="宋体"/>
          <w:spacing w:val="-5"/>
          <w:sz w:val="21"/>
          <w:szCs w:val="21"/>
        </w:rPr>
        <w:t>1硝酸纤维、硝酸钠等氧化剂及含氧化剂的化学制品火灾。</w:t>
      </w:r>
    </w:p>
    <w:p>
      <w:pPr>
        <w:spacing w:before="62" w:line="219" w:lineRule="auto"/>
        <w:ind w:left="419"/>
        <w:rPr>
          <w:rFonts w:ascii="宋体" w:hAnsi="宋体" w:eastAsia="宋体" w:cs="宋体"/>
          <w:sz w:val="21"/>
          <w:szCs w:val="21"/>
        </w:rPr>
      </w:pPr>
      <w:r>
        <w:rPr>
          <w:rFonts w:ascii="宋体" w:hAnsi="宋体" w:eastAsia="宋体" w:cs="宋体"/>
          <w:spacing w:val="-27"/>
          <w:sz w:val="21"/>
          <w:szCs w:val="21"/>
        </w:rPr>
        <w:t>2钾、钠、镁、钛、锆、铀等活泼金属火灾。</w:t>
      </w:r>
    </w:p>
    <w:p>
      <w:pPr>
        <w:spacing w:before="61" w:line="219" w:lineRule="auto"/>
        <w:ind w:left="419"/>
        <w:rPr>
          <w:rFonts w:ascii="宋体" w:hAnsi="宋体" w:eastAsia="宋体" w:cs="宋体"/>
          <w:sz w:val="21"/>
          <w:szCs w:val="21"/>
        </w:rPr>
      </w:pPr>
      <w:r>
        <w:rPr>
          <w:rFonts w:ascii="宋体" w:hAnsi="宋体" w:eastAsia="宋体" w:cs="宋体"/>
          <w:spacing w:val="-6"/>
          <w:sz w:val="21"/>
          <w:szCs w:val="21"/>
        </w:rPr>
        <w:t>3氢化钾、氢化钠等金属氢化物火灾。</w:t>
      </w:r>
    </w:p>
    <w:p>
      <w:pPr>
        <w:spacing w:before="60" w:line="219" w:lineRule="auto"/>
        <w:ind w:left="419"/>
        <w:rPr>
          <w:rFonts w:ascii="宋体" w:hAnsi="宋体" w:eastAsia="宋体" w:cs="宋体"/>
          <w:sz w:val="21"/>
          <w:szCs w:val="21"/>
        </w:rPr>
      </w:pPr>
      <w:r>
        <w:rPr>
          <w:rFonts w:ascii="宋体" w:hAnsi="宋体" w:eastAsia="宋体" w:cs="宋体"/>
          <w:spacing w:val="-5"/>
          <w:sz w:val="21"/>
          <w:szCs w:val="21"/>
        </w:rPr>
        <w:t>4过氧化物、联胺等能自行分解的化学物质火灾。</w:t>
      </w:r>
    </w:p>
    <w:p>
      <w:pPr>
        <w:spacing w:before="72" w:line="219" w:lineRule="auto"/>
        <w:ind w:left="419"/>
        <w:rPr>
          <w:rFonts w:ascii="宋体" w:hAnsi="宋体" w:eastAsia="宋体" w:cs="宋体"/>
          <w:sz w:val="21"/>
          <w:szCs w:val="21"/>
        </w:rPr>
      </w:pPr>
      <w:r>
        <w:rPr>
          <w:rFonts w:ascii="宋体" w:hAnsi="宋体" w:eastAsia="宋体" w:cs="宋体"/>
          <w:spacing w:val="-1"/>
          <w:sz w:val="21"/>
          <w:szCs w:val="21"/>
        </w:rPr>
        <w:t>5可燃固体的深位火灾。</w:t>
      </w:r>
    </w:p>
    <w:p>
      <w:pPr>
        <w:spacing w:before="50" w:line="255" w:lineRule="auto"/>
        <w:ind w:right="66" w:firstLine="3"/>
        <w:rPr>
          <w:rFonts w:ascii="宋体" w:hAnsi="宋体" w:eastAsia="宋体" w:cs="宋体"/>
          <w:sz w:val="21"/>
          <w:szCs w:val="21"/>
        </w:rPr>
      </w:pPr>
      <w:r>
        <w:rPr>
          <w:rFonts w:ascii="宋体" w:hAnsi="宋体" w:eastAsia="宋体" w:cs="宋体"/>
          <w:b/>
          <w:bCs/>
          <w:spacing w:val="2"/>
          <w:sz w:val="21"/>
          <w:szCs w:val="21"/>
        </w:rPr>
        <w:t>8.1.5</w:t>
      </w:r>
      <w:r>
        <w:rPr>
          <w:rFonts w:ascii="宋体" w:hAnsi="宋体" w:eastAsia="宋体" w:cs="宋体"/>
          <w:spacing w:val="2"/>
          <w:sz w:val="21"/>
          <w:szCs w:val="21"/>
        </w:rPr>
        <w:t>氮气灭火系统中，2个或2个以上的防护区</w:t>
      </w:r>
      <w:r>
        <w:rPr>
          <w:rFonts w:ascii="宋体" w:hAnsi="宋体" w:eastAsia="宋体" w:cs="宋体"/>
          <w:spacing w:val="1"/>
          <w:sz w:val="21"/>
          <w:szCs w:val="21"/>
        </w:rPr>
        <w:t>采用组合分配</w:t>
      </w:r>
      <w:r>
        <w:rPr>
          <w:rFonts w:ascii="宋体" w:hAnsi="宋体" w:eastAsia="宋体" w:cs="宋体"/>
          <w:spacing w:val="-2"/>
          <w:sz w:val="21"/>
          <w:szCs w:val="21"/>
        </w:rPr>
        <w:t>系统时，一个组合分配系统所保护的防护区不应超过8个。</w:t>
      </w:r>
    </w:p>
    <w:p>
      <w:pPr>
        <w:spacing w:before="60" w:line="250" w:lineRule="auto"/>
        <w:ind w:right="66" w:firstLine="3"/>
        <w:rPr>
          <w:rFonts w:ascii="宋体" w:hAnsi="宋体" w:eastAsia="宋体" w:cs="宋体"/>
          <w:sz w:val="21"/>
          <w:szCs w:val="21"/>
        </w:rPr>
      </w:pPr>
      <w:r>
        <w:rPr>
          <w:rFonts w:ascii="宋体" w:hAnsi="宋体" w:eastAsia="宋体" w:cs="宋体"/>
          <w:b/>
          <w:bCs/>
          <w:spacing w:val="2"/>
          <w:sz w:val="21"/>
          <w:szCs w:val="21"/>
        </w:rPr>
        <w:t>8.1.6</w:t>
      </w:r>
      <w:r>
        <w:rPr>
          <w:rFonts w:ascii="宋体" w:hAnsi="宋体" w:eastAsia="宋体" w:cs="宋体"/>
          <w:spacing w:val="2"/>
          <w:sz w:val="21"/>
          <w:szCs w:val="21"/>
        </w:rPr>
        <w:t>氮气灭火系统的灭火剂储存量，应为最大防</w:t>
      </w:r>
      <w:r>
        <w:rPr>
          <w:rFonts w:ascii="宋体" w:hAnsi="宋体" w:eastAsia="宋体" w:cs="宋体"/>
          <w:spacing w:val="1"/>
          <w:sz w:val="21"/>
          <w:szCs w:val="21"/>
        </w:rPr>
        <w:t>护区的灭火</w:t>
      </w:r>
      <w:r>
        <w:rPr>
          <w:rFonts w:ascii="宋体" w:hAnsi="宋体" w:eastAsia="宋体" w:cs="宋体"/>
          <w:spacing w:val="6"/>
          <w:sz w:val="21"/>
          <w:szCs w:val="21"/>
        </w:rPr>
        <w:t>设计用量与储存容器内的灭火剂剩余量和管网内的灭火剂剩余</w:t>
      </w:r>
    </w:p>
    <w:p>
      <w:pPr>
        <w:spacing w:line="250" w:lineRule="auto"/>
        <w:rPr>
          <w:rFonts w:ascii="宋体" w:hAnsi="宋体" w:eastAsia="宋体" w:cs="宋体"/>
          <w:sz w:val="21"/>
          <w:szCs w:val="21"/>
        </w:rPr>
        <w:sectPr>
          <w:footerReference r:id="rId56" w:type="default"/>
          <w:pgSz w:w="8280" w:h="11850"/>
          <w:pgMar w:top="400" w:right="1164" w:bottom="1370" w:left="1200" w:header="0" w:footer="1097" w:gutter="0"/>
          <w:cols w:space="720" w:num="1"/>
        </w:sectPr>
      </w:pPr>
    </w:p>
    <w:p>
      <w:pPr>
        <w:pStyle w:val="2"/>
        <w:spacing w:line="292" w:lineRule="auto"/>
      </w:pPr>
    </w:p>
    <w:p>
      <w:pPr>
        <w:pStyle w:val="2"/>
        <w:spacing w:line="293" w:lineRule="auto"/>
      </w:pPr>
    </w:p>
    <w:p>
      <w:pPr>
        <w:pStyle w:val="2"/>
        <w:spacing w:line="293" w:lineRule="auto"/>
      </w:pPr>
    </w:p>
    <w:p>
      <w:pPr>
        <w:spacing w:before="68" w:line="222" w:lineRule="auto"/>
        <w:ind w:left="10"/>
        <w:rPr>
          <w:rFonts w:ascii="宋体" w:hAnsi="宋体" w:eastAsia="宋体" w:cs="宋体"/>
          <w:sz w:val="21"/>
          <w:szCs w:val="21"/>
        </w:rPr>
      </w:pPr>
      <w:bookmarkStart w:id="43" w:name="bookmark89"/>
      <w:bookmarkEnd w:id="43"/>
      <w:r>
        <w:rPr>
          <w:rFonts w:ascii="宋体" w:hAnsi="宋体" w:eastAsia="宋体" w:cs="宋体"/>
          <w:spacing w:val="-8"/>
          <w:sz w:val="21"/>
          <w:szCs w:val="21"/>
        </w:rPr>
        <w:t>量之和。</w:t>
      </w:r>
    </w:p>
    <w:p>
      <w:pPr>
        <w:spacing w:before="63" w:line="246" w:lineRule="auto"/>
        <w:ind w:left="29" w:right="8" w:hanging="19"/>
        <w:rPr>
          <w:rFonts w:ascii="宋体" w:hAnsi="宋体" w:eastAsia="宋体" w:cs="宋体"/>
          <w:sz w:val="21"/>
          <w:szCs w:val="21"/>
        </w:rPr>
      </w:pPr>
      <w:r>
        <w:rPr>
          <w:rFonts w:ascii="宋体" w:hAnsi="宋体" w:eastAsia="宋体" w:cs="宋体"/>
          <w:spacing w:val="5"/>
          <w:sz w:val="21"/>
          <w:szCs w:val="21"/>
        </w:rPr>
        <w:t>8.1.7氮气灭火系统的储存装置72</w:t>
      </w:r>
      <w:r>
        <w:rPr>
          <w:rFonts w:ascii="Times New Roman" w:hAnsi="Times New Roman" w:eastAsia="Times New Roman" w:cs="Times New Roman"/>
          <w:spacing w:val="5"/>
          <w:sz w:val="21"/>
          <w:szCs w:val="21"/>
        </w:rPr>
        <w:t>h</w:t>
      </w:r>
      <w:r>
        <w:rPr>
          <w:rFonts w:ascii="宋体" w:hAnsi="宋体" w:eastAsia="宋体" w:cs="宋体"/>
          <w:spacing w:val="5"/>
          <w:sz w:val="21"/>
          <w:szCs w:val="21"/>
        </w:rPr>
        <w:t>内不能重新充装恢复工作</w:t>
      </w:r>
      <w:r>
        <w:rPr>
          <w:rFonts w:ascii="宋体" w:hAnsi="宋体" w:eastAsia="宋体" w:cs="宋体"/>
          <w:spacing w:val="1"/>
          <w:sz w:val="21"/>
          <w:szCs w:val="21"/>
        </w:rPr>
        <w:t>的，应按系统原储存量的100%设置备用量。</w:t>
      </w:r>
    </w:p>
    <w:p>
      <w:pPr>
        <w:spacing w:before="69" w:line="219" w:lineRule="auto"/>
        <w:rPr>
          <w:rFonts w:ascii="宋体" w:hAnsi="宋体" w:eastAsia="宋体" w:cs="宋体"/>
          <w:sz w:val="21"/>
          <w:szCs w:val="21"/>
        </w:rPr>
      </w:pPr>
      <w:r>
        <w:rPr>
          <w:rFonts w:ascii="宋体" w:hAnsi="宋体" w:eastAsia="宋体" w:cs="宋体"/>
          <w:spacing w:val="-1"/>
          <w:sz w:val="21"/>
          <w:szCs w:val="21"/>
        </w:rPr>
        <w:t>8.1.8氮气灭火系统防护区设计应符合下列规定：</w:t>
      </w:r>
    </w:p>
    <w:p>
      <w:pPr>
        <w:spacing w:before="72" w:line="245" w:lineRule="auto"/>
        <w:ind w:left="10" w:right="24" w:firstLine="419"/>
        <w:rPr>
          <w:rFonts w:ascii="宋体" w:hAnsi="宋体" w:eastAsia="宋体" w:cs="宋体"/>
          <w:sz w:val="21"/>
          <w:szCs w:val="21"/>
        </w:rPr>
      </w:pPr>
      <w:r>
        <w:rPr>
          <w:rFonts w:ascii="宋体" w:hAnsi="宋体" w:eastAsia="宋体" w:cs="宋体"/>
          <w:spacing w:val="3"/>
          <w:sz w:val="21"/>
          <w:szCs w:val="21"/>
        </w:rPr>
        <w:t>1防护区宜以单个封闭空间划分；同一区间的吊顶层和地</w:t>
      </w:r>
      <w:r>
        <w:rPr>
          <w:rFonts w:ascii="宋体" w:hAnsi="宋体" w:eastAsia="宋体" w:cs="宋体"/>
          <w:spacing w:val="-7"/>
          <w:sz w:val="21"/>
          <w:szCs w:val="21"/>
        </w:rPr>
        <w:t>板下需同时保护时，可合为一个防护区。</w:t>
      </w:r>
    </w:p>
    <w:p>
      <w:pPr>
        <w:spacing w:before="57" w:line="257" w:lineRule="auto"/>
        <w:ind w:left="10" w:firstLine="399"/>
        <w:rPr>
          <w:rFonts w:ascii="宋体" w:hAnsi="宋体" w:eastAsia="宋体" w:cs="宋体"/>
          <w:sz w:val="21"/>
          <w:szCs w:val="21"/>
        </w:rPr>
      </w:pPr>
      <w:r>
        <w:rPr>
          <w:rFonts w:ascii="宋体" w:hAnsi="宋体" w:eastAsia="宋体" w:cs="宋体"/>
          <w:spacing w:val="13"/>
          <w:sz w:val="21"/>
          <w:szCs w:val="21"/>
        </w:rPr>
        <w:t>2一个防护区的面积不宜大于800</w:t>
      </w:r>
      <w:r>
        <w:rPr>
          <w:rFonts w:ascii="Times New Roman" w:hAnsi="Times New Roman" w:eastAsia="Times New Roman" w:cs="Times New Roman"/>
          <w:spacing w:val="13"/>
          <w:sz w:val="21"/>
          <w:szCs w:val="21"/>
        </w:rPr>
        <w:t>m²,</w:t>
      </w:r>
      <w:r>
        <w:rPr>
          <w:rFonts w:ascii="宋体" w:hAnsi="宋体" w:eastAsia="宋体" w:cs="宋体"/>
          <w:spacing w:val="13"/>
          <w:sz w:val="21"/>
          <w:szCs w:val="21"/>
        </w:rPr>
        <w:t>且容积不宜大于</w:t>
      </w:r>
      <w:r>
        <w:rPr>
          <w:rFonts w:ascii="Times New Roman" w:hAnsi="Times New Roman" w:eastAsia="Times New Roman" w:cs="Times New Roman"/>
          <w:spacing w:val="-2"/>
          <w:sz w:val="21"/>
          <w:szCs w:val="21"/>
        </w:rPr>
        <w:t>3600m³</w:t>
      </w:r>
      <w:r>
        <w:rPr>
          <w:rFonts w:ascii="宋体" w:hAnsi="宋体" w:eastAsia="宋体" w:cs="宋体"/>
          <w:spacing w:val="-2"/>
          <w:sz w:val="21"/>
          <w:szCs w:val="21"/>
        </w:rPr>
        <w:t>。</w:t>
      </w:r>
    </w:p>
    <w:p>
      <w:pPr>
        <w:spacing w:before="61" w:line="250" w:lineRule="auto"/>
        <w:ind w:left="10" w:right="12" w:firstLine="409"/>
        <w:rPr>
          <w:rFonts w:ascii="宋体" w:hAnsi="宋体" w:eastAsia="宋体" w:cs="宋体"/>
          <w:sz w:val="21"/>
          <w:szCs w:val="21"/>
        </w:rPr>
      </w:pPr>
      <w:r>
        <w:rPr>
          <w:rFonts w:ascii="宋体" w:hAnsi="宋体" w:eastAsia="宋体" w:cs="宋体"/>
          <w:spacing w:val="-4"/>
          <w:sz w:val="21"/>
          <w:szCs w:val="21"/>
        </w:rPr>
        <w:t>3防护区应设置泄压口，宜设在外墙上，泄压口面积应按设</w:t>
      </w:r>
      <w:r>
        <w:rPr>
          <w:rFonts w:ascii="宋体" w:hAnsi="宋体" w:eastAsia="宋体" w:cs="宋体"/>
          <w:spacing w:val="-6"/>
          <w:sz w:val="21"/>
          <w:szCs w:val="21"/>
        </w:rPr>
        <w:t>计计算取值。</w:t>
      </w:r>
    </w:p>
    <w:p>
      <w:pPr>
        <w:spacing w:before="60" w:line="250" w:lineRule="auto"/>
        <w:ind w:left="19" w:right="5" w:firstLine="400"/>
        <w:rPr>
          <w:rFonts w:ascii="宋体" w:hAnsi="宋体" w:eastAsia="宋体" w:cs="宋体"/>
          <w:sz w:val="21"/>
          <w:szCs w:val="21"/>
        </w:rPr>
      </w:pPr>
      <w:r>
        <w:rPr>
          <w:rFonts w:ascii="宋体" w:hAnsi="宋体" w:eastAsia="宋体" w:cs="宋体"/>
          <w:spacing w:val="4"/>
          <w:sz w:val="21"/>
          <w:szCs w:val="21"/>
        </w:rPr>
        <w:t>4防护区不应有不能关闭的开口，防护区内与其他空间相</w:t>
      </w:r>
      <w:r>
        <w:rPr>
          <w:rFonts w:ascii="宋体" w:hAnsi="宋体" w:eastAsia="宋体" w:cs="宋体"/>
          <w:spacing w:val="-9"/>
          <w:sz w:val="21"/>
          <w:szCs w:val="21"/>
        </w:rPr>
        <w:t>通的开口，除泄压口外，应能在灭火剂喷放前自动关闭。</w:t>
      </w:r>
    </w:p>
    <w:p>
      <w:pPr>
        <w:spacing w:before="62" w:line="219" w:lineRule="auto"/>
        <w:ind w:left="409"/>
        <w:rPr>
          <w:rFonts w:ascii="宋体" w:hAnsi="宋体" w:eastAsia="宋体" w:cs="宋体"/>
          <w:sz w:val="21"/>
          <w:szCs w:val="21"/>
        </w:rPr>
      </w:pPr>
      <w:r>
        <w:rPr>
          <w:rFonts w:ascii="宋体" w:hAnsi="宋体" w:eastAsia="宋体" w:cs="宋体"/>
          <w:sz w:val="21"/>
          <w:szCs w:val="21"/>
        </w:rPr>
        <w:t>5防护区的最低环境温度不应低于一10℃。</w:t>
      </w:r>
    </w:p>
    <w:p>
      <w:pPr>
        <w:spacing w:before="58" w:line="256" w:lineRule="auto"/>
        <w:ind w:left="19" w:right="55" w:firstLine="400"/>
        <w:rPr>
          <w:rFonts w:ascii="宋体" w:hAnsi="宋体" w:eastAsia="宋体" w:cs="宋体"/>
          <w:sz w:val="21"/>
          <w:szCs w:val="21"/>
        </w:rPr>
      </w:pPr>
      <w:r>
        <w:rPr>
          <w:rFonts w:ascii="宋体" w:hAnsi="宋体" w:eastAsia="宋体" w:cs="宋体"/>
          <w:spacing w:val="1"/>
          <w:sz w:val="21"/>
          <w:szCs w:val="21"/>
        </w:rPr>
        <w:t>6防护区围护结构及门、窗的耐火极限不应低于0.50</w:t>
      </w:r>
      <w:r>
        <w:rPr>
          <w:rFonts w:ascii="Times New Roman" w:hAnsi="Times New Roman" w:eastAsia="Times New Roman" w:cs="Times New Roman"/>
          <w:spacing w:val="1"/>
          <w:sz w:val="21"/>
          <w:szCs w:val="21"/>
        </w:rPr>
        <w:t>h,</w:t>
      </w:r>
      <w:r>
        <w:rPr>
          <w:rFonts w:ascii="宋体" w:hAnsi="宋体" w:eastAsia="宋体" w:cs="宋体"/>
          <w:spacing w:val="1"/>
          <w:sz w:val="21"/>
          <w:szCs w:val="21"/>
        </w:rPr>
        <w:t>吊</w:t>
      </w:r>
      <w:r>
        <w:rPr>
          <w:rFonts w:ascii="宋体" w:hAnsi="宋体" w:eastAsia="宋体" w:cs="宋体"/>
          <w:spacing w:val="3"/>
          <w:sz w:val="21"/>
          <w:szCs w:val="21"/>
        </w:rPr>
        <w:t>顶的耐火极限不应低于0.25h。</w:t>
      </w:r>
    </w:p>
    <w:p>
      <w:pPr>
        <w:spacing w:before="51" w:line="219" w:lineRule="auto"/>
        <w:ind w:left="409"/>
        <w:rPr>
          <w:rFonts w:ascii="宋体" w:hAnsi="宋体" w:eastAsia="宋体" w:cs="宋体"/>
          <w:sz w:val="21"/>
          <w:szCs w:val="21"/>
        </w:rPr>
      </w:pPr>
      <w:r>
        <w:rPr>
          <w:rFonts w:ascii="宋体" w:hAnsi="宋体" w:eastAsia="宋体" w:cs="宋体"/>
          <w:spacing w:val="3"/>
          <w:sz w:val="21"/>
          <w:szCs w:val="21"/>
        </w:rPr>
        <w:t>7围护结构及门窗的允许压强不宜低于12</w:t>
      </w:r>
      <w:r>
        <w:rPr>
          <w:rFonts w:ascii="宋体" w:hAnsi="宋体" w:eastAsia="宋体" w:cs="宋体"/>
          <w:spacing w:val="2"/>
          <w:sz w:val="21"/>
          <w:szCs w:val="21"/>
        </w:rPr>
        <w:t>00</w:t>
      </w:r>
      <w:r>
        <w:rPr>
          <w:rFonts w:ascii="宋体" w:hAnsi="宋体" w:eastAsia="宋体" w:cs="宋体"/>
          <w:sz w:val="21"/>
          <w:szCs w:val="21"/>
        </w:rPr>
        <w:t>Pa</w:t>
      </w:r>
      <w:r>
        <w:rPr>
          <w:rFonts w:ascii="宋体" w:hAnsi="宋体" w:eastAsia="宋体" w:cs="宋体"/>
          <w:spacing w:val="2"/>
          <w:sz w:val="21"/>
          <w:szCs w:val="21"/>
        </w:rPr>
        <w:t>。</w:t>
      </w:r>
    </w:p>
    <w:p>
      <w:pPr>
        <w:spacing w:before="78" w:line="246" w:lineRule="auto"/>
        <w:ind w:left="10" w:right="26" w:firstLine="399"/>
        <w:rPr>
          <w:rFonts w:ascii="宋体" w:hAnsi="宋体" w:eastAsia="宋体" w:cs="宋体"/>
          <w:sz w:val="21"/>
          <w:szCs w:val="21"/>
        </w:rPr>
      </w:pPr>
      <w:r>
        <w:rPr>
          <w:rFonts w:ascii="宋体" w:hAnsi="宋体" w:eastAsia="宋体" w:cs="宋体"/>
          <w:spacing w:val="4"/>
          <w:sz w:val="21"/>
          <w:szCs w:val="21"/>
        </w:rPr>
        <w:t>8应考虑防护区预期最高和最低环境温</w:t>
      </w:r>
      <w:r>
        <w:rPr>
          <w:rFonts w:ascii="宋体" w:hAnsi="宋体" w:eastAsia="宋体" w:cs="宋体"/>
          <w:spacing w:val="3"/>
          <w:sz w:val="21"/>
          <w:szCs w:val="21"/>
        </w:rPr>
        <w:t>度，确定所需要的</w:t>
      </w:r>
      <w:r>
        <w:rPr>
          <w:rFonts w:ascii="宋体" w:hAnsi="宋体" w:eastAsia="宋体" w:cs="宋体"/>
          <w:spacing w:val="-7"/>
          <w:sz w:val="21"/>
          <w:szCs w:val="21"/>
        </w:rPr>
        <w:t>灭火剂量。</w:t>
      </w:r>
    </w:p>
    <w:p>
      <w:pPr>
        <w:spacing w:before="71" w:line="219" w:lineRule="auto"/>
        <w:rPr>
          <w:rFonts w:ascii="宋体" w:hAnsi="宋体" w:eastAsia="宋体" w:cs="宋体"/>
          <w:sz w:val="21"/>
          <w:szCs w:val="21"/>
        </w:rPr>
      </w:pPr>
      <w:r>
        <w:drawing>
          <wp:anchor distT="0" distB="0" distL="0" distR="0" simplePos="0" relativeHeight="251662336" behindDoc="0" locked="0" layoutInCell="1" allowOverlap="1">
            <wp:simplePos x="0" y="0"/>
            <wp:positionH relativeFrom="column">
              <wp:posOffset>1339215</wp:posOffset>
            </wp:positionH>
            <wp:positionV relativeFrom="paragraph">
              <wp:posOffset>319405</wp:posOffset>
            </wp:positionV>
            <wp:extent cx="996950" cy="37465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20"/>
                    <a:stretch>
                      <a:fillRect/>
                    </a:stretch>
                  </pic:blipFill>
                  <pic:spPr>
                    <a:xfrm>
                      <a:off x="0" y="0"/>
                      <a:ext cx="996931" cy="374657"/>
                    </a:xfrm>
                    <a:prstGeom prst="rect">
                      <a:avLst/>
                    </a:prstGeom>
                  </pic:spPr>
                </pic:pic>
              </a:graphicData>
            </a:graphic>
          </wp:anchor>
        </w:drawing>
      </w:r>
      <w:r>
        <w:rPr>
          <w:rFonts w:ascii="宋体" w:hAnsi="宋体" w:eastAsia="宋体" w:cs="宋体"/>
          <w:sz w:val="21"/>
          <w:szCs w:val="21"/>
        </w:rPr>
        <w:t>8.1.9氮气灭火系统泄压口的最小面积应</w:t>
      </w:r>
      <w:r>
        <w:rPr>
          <w:rFonts w:ascii="宋体" w:hAnsi="宋体" w:eastAsia="宋体" w:cs="宋体"/>
          <w:spacing w:val="-1"/>
          <w:sz w:val="21"/>
          <w:szCs w:val="21"/>
        </w:rPr>
        <w:t>按下式计算：</w:t>
      </w:r>
    </w:p>
    <w:p>
      <w:pPr>
        <w:spacing w:before="306" w:line="222" w:lineRule="auto"/>
        <w:ind w:left="5129"/>
        <w:rPr>
          <w:rFonts w:ascii="宋体" w:hAnsi="宋体" w:eastAsia="宋体" w:cs="宋体"/>
          <w:sz w:val="21"/>
          <w:szCs w:val="21"/>
        </w:rPr>
      </w:pPr>
      <w:r>
        <w:rPr>
          <w:rFonts w:ascii="宋体" w:hAnsi="宋体" w:eastAsia="宋体" w:cs="宋体"/>
          <w:spacing w:val="-6"/>
          <w:sz w:val="21"/>
          <w:szCs w:val="21"/>
        </w:rPr>
        <w:t>(8.1.9)</w:t>
      </w:r>
    </w:p>
    <w:p>
      <w:pPr>
        <w:pStyle w:val="2"/>
        <w:spacing w:line="280" w:lineRule="auto"/>
      </w:pPr>
    </w:p>
    <w:p>
      <w:pPr>
        <w:spacing w:before="69" w:line="212" w:lineRule="auto"/>
        <w:ind w:left="10"/>
        <w:rPr>
          <w:rFonts w:ascii="Times New Roman" w:hAnsi="Times New Roman" w:eastAsia="Times New Roman" w:cs="Times New Roman"/>
          <w:sz w:val="21"/>
          <w:szCs w:val="21"/>
        </w:rPr>
      </w:pPr>
      <w:r>
        <w:rPr>
          <w:rFonts w:ascii="宋体" w:hAnsi="宋体" w:eastAsia="宋体" w:cs="宋体"/>
          <w:spacing w:val="-13"/>
          <w:sz w:val="21"/>
          <w:szCs w:val="21"/>
        </w:rPr>
        <w:t>式中：</w:t>
      </w:r>
      <w:r>
        <w:rPr>
          <w:rFonts w:ascii="Times New Roman" w:hAnsi="Times New Roman" w:eastAsia="Times New Roman" w:cs="Times New Roman"/>
          <w:spacing w:val="-13"/>
          <w:sz w:val="21"/>
          <w:szCs w:val="21"/>
        </w:rPr>
        <w:t>A</w:t>
      </w:r>
      <w:r>
        <w:rPr>
          <w:rFonts w:ascii="宋体" w:hAnsi="宋体" w:eastAsia="宋体" w:cs="宋体"/>
          <w:spacing w:val="-13"/>
          <w:sz w:val="21"/>
          <w:szCs w:val="21"/>
        </w:rPr>
        <w:t>、</w:t>
      </w:r>
      <w:r>
        <w:rPr>
          <w:rFonts w:ascii="Times New Roman" w:hAnsi="Times New Roman" w:eastAsia="Times New Roman" w:cs="Times New Roman"/>
          <w:spacing w:val="-13"/>
          <w:sz w:val="21"/>
          <w:szCs w:val="21"/>
        </w:rPr>
        <w:t>——</w:t>
      </w:r>
      <w:r>
        <w:rPr>
          <w:rFonts w:ascii="宋体" w:hAnsi="宋体" w:eastAsia="宋体" w:cs="宋体"/>
          <w:spacing w:val="-13"/>
          <w:sz w:val="21"/>
          <w:szCs w:val="21"/>
        </w:rPr>
        <w:t>泄压口面积</w:t>
      </w:r>
      <w:r>
        <w:rPr>
          <w:rFonts w:ascii="Times New Roman" w:hAnsi="Times New Roman" w:eastAsia="Times New Roman" w:cs="Times New Roman"/>
          <w:spacing w:val="-13"/>
          <w:sz w:val="21"/>
          <w:szCs w:val="21"/>
        </w:rPr>
        <w:t>(m²);</w:t>
      </w:r>
    </w:p>
    <w:p>
      <w:pPr>
        <w:spacing w:before="98" w:line="212" w:lineRule="auto"/>
        <w:ind w:left="4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Qy——</w:t>
      </w:r>
      <w:r>
        <w:rPr>
          <w:rFonts w:ascii="宋体" w:hAnsi="宋体" w:eastAsia="宋体" w:cs="宋体"/>
          <w:spacing w:val="-1"/>
          <w:sz w:val="21"/>
          <w:szCs w:val="21"/>
        </w:rPr>
        <w:t>防护区灭火剂的平均喷放速率</w:t>
      </w:r>
      <w:r>
        <w:rPr>
          <w:rFonts w:ascii="Times New Roman" w:hAnsi="Times New Roman" w:eastAsia="Times New Roman" w:cs="Times New Roman"/>
          <w:spacing w:val="-1"/>
          <w:sz w:val="21"/>
          <w:szCs w:val="21"/>
        </w:rPr>
        <w:t>(kg/s);</w:t>
      </w:r>
    </w:p>
    <w:p>
      <w:pPr>
        <w:spacing w:before="99" w:line="273" w:lineRule="auto"/>
        <w:ind w:left="1179" w:right="22" w:hanging="670"/>
        <w:rPr>
          <w:rFonts w:ascii="宋体" w:hAnsi="宋体" w:eastAsia="宋体" w:cs="宋体"/>
          <w:sz w:val="21"/>
          <w:szCs w:val="21"/>
        </w:rPr>
      </w:pPr>
      <w:r>
        <w:rPr>
          <w:rFonts w:ascii="宋体" w:hAnsi="宋体" w:eastAsia="宋体" w:cs="宋体"/>
          <w:sz w:val="21"/>
          <w:szCs w:val="21"/>
        </w:rPr>
        <w:t>Py</w:t>
      </w:r>
      <w:r>
        <w:rPr>
          <w:rFonts w:ascii="宋体" w:hAnsi="宋体" w:eastAsia="宋体" w:cs="宋体"/>
          <w:spacing w:val="4"/>
          <w:sz w:val="21"/>
          <w:szCs w:val="21"/>
        </w:rPr>
        <w:t>——防护区围护结构承受内压的允许压强(</w:t>
      </w:r>
      <w:r>
        <w:rPr>
          <w:rFonts w:ascii="宋体" w:hAnsi="宋体" w:eastAsia="宋体" w:cs="宋体"/>
          <w:sz w:val="21"/>
          <w:szCs w:val="21"/>
        </w:rPr>
        <w:t>Pa</w:t>
      </w:r>
      <w:r>
        <w:rPr>
          <w:rFonts w:ascii="宋体" w:hAnsi="宋体" w:eastAsia="宋体" w:cs="宋体"/>
          <w:spacing w:val="4"/>
          <w:sz w:val="21"/>
          <w:szCs w:val="21"/>
        </w:rPr>
        <w:t>),根据围</w:t>
      </w:r>
      <w:r>
        <w:rPr>
          <w:rFonts w:ascii="宋体" w:hAnsi="宋体" w:eastAsia="宋体" w:cs="宋体"/>
          <w:spacing w:val="1"/>
          <w:sz w:val="21"/>
          <w:szCs w:val="21"/>
        </w:rPr>
        <w:t>护结构的类型确定，一般轻型围护结构为1</w:t>
      </w:r>
      <w:r>
        <w:rPr>
          <w:rFonts w:ascii="宋体" w:hAnsi="宋体" w:eastAsia="宋体" w:cs="宋体"/>
          <w:sz w:val="21"/>
          <w:szCs w:val="21"/>
        </w:rPr>
        <w:t>200Pa,</w:t>
      </w:r>
      <w:r>
        <w:rPr>
          <w:rFonts w:ascii="宋体" w:hAnsi="宋体" w:eastAsia="宋体" w:cs="宋体"/>
          <w:spacing w:val="18"/>
          <w:sz w:val="21"/>
          <w:szCs w:val="21"/>
        </w:rPr>
        <w:t>中型围护结构为2400</w:t>
      </w:r>
      <w:r>
        <w:rPr>
          <w:rFonts w:ascii="宋体" w:hAnsi="宋体" w:eastAsia="宋体" w:cs="宋体"/>
          <w:sz w:val="21"/>
          <w:szCs w:val="21"/>
        </w:rPr>
        <w:t>Pa</w:t>
      </w:r>
      <w:r>
        <w:rPr>
          <w:rFonts w:ascii="宋体" w:hAnsi="宋体" w:eastAsia="宋体" w:cs="宋体"/>
          <w:spacing w:val="18"/>
          <w:sz w:val="21"/>
          <w:szCs w:val="21"/>
        </w:rPr>
        <w:t>,重型围护结构为</w:t>
      </w:r>
      <w:r>
        <w:rPr>
          <w:rFonts w:ascii="Times New Roman" w:hAnsi="Times New Roman" w:eastAsia="Times New Roman" w:cs="Times New Roman"/>
          <w:spacing w:val="-2"/>
          <w:sz w:val="21"/>
          <w:szCs w:val="21"/>
        </w:rPr>
        <w:t>4800Pa</w:t>
      </w:r>
      <w:r>
        <w:rPr>
          <w:rFonts w:ascii="宋体" w:hAnsi="宋体" w:eastAsia="宋体" w:cs="宋体"/>
          <w:spacing w:val="-2"/>
          <w:sz w:val="21"/>
          <w:szCs w:val="21"/>
        </w:rPr>
        <w:t>。</w:t>
      </w:r>
    </w:p>
    <w:p>
      <w:pPr>
        <w:spacing w:line="273" w:lineRule="auto"/>
        <w:rPr>
          <w:rFonts w:ascii="宋体" w:hAnsi="宋体" w:eastAsia="宋体" w:cs="宋体"/>
          <w:sz w:val="21"/>
          <w:szCs w:val="21"/>
        </w:rPr>
        <w:sectPr>
          <w:footerReference r:id="rId57" w:type="default"/>
          <w:pgSz w:w="8280" w:h="11850"/>
          <w:pgMar w:top="400" w:right="1187" w:bottom="1300" w:left="1200" w:header="0" w:footer="1026" w:gutter="0"/>
          <w:cols w:space="720" w:num="1"/>
        </w:sectPr>
      </w:pPr>
    </w:p>
    <w:p>
      <w:pPr>
        <w:pStyle w:val="2"/>
        <w:spacing w:line="250" w:lineRule="auto"/>
      </w:pPr>
    </w:p>
    <w:p>
      <w:pPr>
        <w:pStyle w:val="2"/>
        <w:spacing w:line="250" w:lineRule="auto"/>
      </w:pPr>
    </w:p>
    <w:p>
      <w:pPr>
        <w:pStyle w:val="2"/>
        <w:spacing w:line="251" w:lineRule="auto"/>
      </w:pPr>
    </w:p>
    <w:p>
      <w:pPr>
        <w:pStyle w:val="2"/>
        <w:spacing w:line="251" w:lineRule="auto"/>
      </w:pPr>
    </w:p>
    <w:p>
      <w:pPr>
        <w:spacing w:before="69" w:line="222" w:lineRule="auto"/>
        <w:ind w:left="2329"/>
        <w:rPr>
          <w:rFonts w:ascii="仿宋" w:hAnsi="仿宋" w:eastAsia="仿宋" w:cs="仿宋"/>
          <w:sz w:val="21"/>
          <w:szCs w:val="21"/>
        </w:rPr>
      </w:pPr>
      <w:r>
        <w:rPr>
          <w:rFonts w:ascii="仿宋" w:hAnsi="仿宋" w:eastAsia="仿宋" w:cs="仿宋"/>
          <w:spacing w:val="-8"/>
          <w:sz w:val="21"/>
          <w:szCs w:val="21"/>
        </w:rPr>
        <w:t>Ⅱ系统设计</w:t>
      </w:r>
    </w:p>
    <w:p>
      <w:pPr>
        <w:spacing w:before="216" w:line="264" w:lineRule="auto"/>
        <w:ind w:left="8" w:right="18" w:hanging="9"/>
        <w:rPr>
          <w:rFonts w:ascii="宋体" w:hAnsi="宋体" w:eastAsia="宋体" w:cs="宋体"/>
          <w:sz w:val="21"/>
          <w:szCs w:val="21"/>
        </w:rPr>
      </w:pPr>
      <w:r>
        <w:rPr>
          <w:rFonts w:ascii="宋体" w:hAnsi="宋体" w:eastAsia="宋体" w:cs="宋体"/>
          <w:spacing w:val="-1"/>
          <w:sz w:val="21"/>
          <w:szCs w:val="21"/>
        </w:rPr>
        <w:t>8.1.10氮气灭火系统的灭火设计用量或惰化设计用量，应根据</w:t>
      </w:r>
      <w:r>
        <w:rPr>
          <w:rFonts w:ascii="宋体" w:hAnsi="宋体" w:eastAsia="宋体" w:cs="宋体"/>
          <w:spacing w:val="6"/>
          <w:sz w:val="21"/>
          <w:szCs w:val="21"/>
        </w:rPr>
        <w:t>防护区内可燃物相应的设计灭火浓度或设计惰</w:t>
      </w:r>
      <w:r>
        <w:rPr>
          <w:rFonts w:ascii="宋体" w:hAnsi="宋体" w:eastAsia="宋体" w:cs="宋体"/>
          <w:spacing w:val="5"/>
          <w:sz w:val="21"/>
          <w:szCs w:val="21"/>
        </w:rPr>
        <w:t>化浓度经计算确</w:t>
      </w:r>
      <w:r>
        <w:rPr>
          <w:rFonts w:ascii="宋体" w:hAnsi="宋体" w:eastAsia="宋体" w:cs="宋体"/>
          <w:spacing w:val="-5"/>
          <w:sz w:val="21"/>
          <w:szCs w:val="21"/>
        </w:rPr>
        <w:t>定；其中，设计灭火浓度应大于或等于灭火浓度的1</w:t>
      </w:r>
      <w:r>
        <w:rPr>
          <w:rFonts w:ascii="宋体" w:hAnsi="宋体" w:eastAsia="宋体" w:cs="宋体"/>
          <w:spacing w:val="-6"/>
          <w:sz w:val="21"/>
          <w:szCs w:val="21"/>
        </w:rPr>
        <w:t>.3倍，设计惰</w:t>
      </w:r>
      <w:r>
        <w:rPr>
          <w:rFonts w:ascii="宋体" w:hAnsi="宋体" w:eastAsia="宋体" w:cs="宋体"/>
          <w:spacing w:val="5"/>
          <w:sz w:val="21"/>
          <w:szCs w:val="21"/>
        </w:rPr>
        <w:t>化浓度应大于或等于惰化浓度的1.1倍。</w:t>
      </w:r>
    </w:p>
    <w:p>
      <w:pPr>
        <w:spacing w:before="60" w:line="219" w:lineRule="auto"/>
        <w:ind w:left="9"/>
        <w:rPr>
          <w:rFonts w:ascii="宋体" w:hAnsi="宋体" w:eastAsia="宋体" w:cs="宋体"/>
          <w:sz w:val="21"/>
          <w:szCs w:val="21"/>
        </w:rPr>
      </w:pPr>
      <w:r>
        <w:rPr>
          <w:rFonts w:ascii="宋体" w:hAnsi="宋体" w:eastAsia="宋体" w:cs="宋体"/>
          <w:spacing w:val="-1"/>
          <w:sz w:val="21"/>
          <w:szCs w:val="21"/>
        </w:rPr>
        <w:t>8.1.11灭火浸渍时间应符合下列规定：</w:t>
      </w:r>
    </w:p>
    <w:p>
      <w:pPr>
        <w:spacing w:before="69" w:line="219" w:lineRule="auto"/>
        <w:ind w:left="429"/>
        <w:rPr>
          <w:rFonts w:ascii="宋体" w:hAnsi="宋体" w:eastAsia="宋体" w:cs="宋体"/>
          <w:sz w:val="21"/>
          <w:szCs w:val="21"/>
        </w:rPr>
      </w:pPr>
      <w:r>
        <w:rPr>
          <w:rFonts w:ascii="宋体" w:hAnsi="宋体" w:eastAsia="宋体" w:cs="宋体"/>
          <w:spacing w:val="-11"/>
          <w:sz w:val="21"/>
          <w:szCs w:val="21"/>
        </w:rPr>
        <w:t>1木材、纸张、织物等固体表面火灾，宜采用20</w:t>
      </w:r>
      <w:r>
        <w:rPr>
          <w:rFonts w:ascii="Times New Roman" w:hAnsi="Times New Roman" w:eastAsia="Times New Roman" w:cs="Times New Roman"/>
          <w:spacing w:val="-11"/>
          <w:sz w:val="21"/>
          <w:szCs w:val="21"/>
        </w:rPr>
        <w:t>min</w:t>
      </w:r>
      <w:r>
        <w:rPr>
          <w:rFonts w:ascii="宋体" w:hAnsi="宋体" w:eastAsia="宋体" w:cs="宋体"/>
          <w:spacing w:val="-11"/>
          <w:sz w:val="21"/>
          <w:szCs w:val="21"/>
        </w:rPr>
        <w:t>。</w:t>
      </w:r>
    </w:p>
    <w:p>
      <w:pPr>
        <w:spacing w:before="62" w:line="246" w:lineRule="auto"/>
        <w:ind w:left="19" w:right="15" w:firstLine="400"/>
        <w:rPr>
          <w:rFonts w:ascii="宋体" w:hAnsi="宋体" w:eastAsia="宋体" w:cs="宋体"/>
          <w:sz w:val="21"/>
          <w:szCs w:val="21"/>
        </w:rPr>
      </w:pPr>
      <w:r>
        <w:rPr>
          <w:rFonts w:ascii="宋体" w:hAnsi="宋体" w:eastAsia="宋体" w:cs="宋体"/>
          <w:spacing w:val="11"/>
          <w:sz w:val="21"/>
          <w:szCs w:val="21"/>
        </w:rPr>
        <w:t>2通信机房、电子计算机房内的电气设备火灾，宜采用</w:t>
      </w:r>
      <w:r>
        <w:rPr>
          <w:rFonts w:ascii="Times New Roman" w:hAnsi="Times New Roman" w:eastAsia="Times New Roman" w:cs="Times New Roman"/>
          <w:spacing w:val="-5"/>
          <w:sz w:val="21"/>
          <w:szCs w:val="21"/>
        </w:rPr>
        <w:t>10min</w:t>
      </w:r>
      <w:r>
        <w:rPr>
          <w:rFonts w:ascii="宋体" w:hAnsi="宋体" w:eastAsia="宋体" w:cs="宋体"/>
          <w:spacing w:val="-5"/>
          <w:sz w:val="21"/>
          <w:szCs w:val="21"/>
        </w:rPr>
        <w:t>。</w:t>
      </w:r>
    </w:p>
    <w:p>
      <w:pPr>
        <w:spacing w:before="79" w:line="219" w:lineRule="auto"/>
        <w:ind w:left="429"/>
        <w:rPr>
          <w:rFonts w:ascii="宋体" w:hAnsi="宋体" w:eastAsia="宋体" w:cs="宋体"/>
          <w:sz w:val="21"/>
          <w:szCs w:val="21"/>
        </w:rPr>
      </w:pPr>
      <w:r>
        <w:rPr>
          <w:rFonts w:ascii="宋体" w:hAnsi="宋体" w:eastAsia="宋体" w:cs="宋体"/>
          <w:spacing w:val="-6"/>
          <w:sz w:val="21"/>
          <w:szCs w:val="21"/>
        </w:rPr>
        <w:t>3气体和液体火灾，宜采用10min。</w:t>
      </w:r>
    </w:p>
    <w:p>
      <w:pPr>
        <w:spacing w:before="61" w:line="219" w:lineRule="auto"/>
        <w:ind w:left="419"/>
        <w:rPr>
          <w:rFonts w:ascii="宋体" w:hAnsi="宋体" w:eastAsia="宋体" w:cs="宋体"/>
          <w:sz w:val="21"/>
          <w:szCs w:val="21"/>
        </w:rPr>
      </w:pPr>
      <w:r>
        <w:rPr>
          <w:rFonts w:ascii="宋体" w:hAnsi="宋体" w:eastAsia="宋体" w:cs="宋体"/>
          <w:spacing w:val="-6"/>
          <w:sz w:val="21"/>
          <w:szCs w:val="21"/>
        </w:rPr>
        <w:t>4其他固体表面火灾，宜采用10min。</w:t>
      </w:r>
    </w:p>
    <w:p>
      <w:pPr>
        <w:spacing w:before="61" w:line="219" w:lineRule="auto"/>
        <w:rPr>
          <w:rFonts w:ascii="宋体" w:hAnsi="宋体" w:eastAsia="宋体" w:cs="宋体"/>
          <w:sz w:val="21"/>
          <w:szCs w:val="21"/>
        </w:rPr>
      </w:pPr>
      <w:r>
        <w:rPr>
          <w:rFonts w:ascii="宋体" w:hAnsi="宋体" w:eastAsia="宋体" w:cs="宋体"/>
          <w:spacing w:val="2"/>
          <w:sz w:val="21"/>
          <w:szCs w:val="21"/>
        </w:rPr>
        <w:t>8.1.12氮气灭火系统的设计温度应采用20℃。</w:t>
      </w:r>
    </w:p>
    <w:p>
      <w:pPr>
        <w:spacing w:before="49" w:line="242" w:lineRule="auto"/>
        <w:ind w:left="19" w:right="3" w:hanging="10"/>
        <w:rPr>
          <w:rFonts w:ascii="宋体" w:hAnsi="宋体" w:eastAsia="宋体" w:cs="宋体"/>
          <w:sz w:val="21"/>
          <w:szCs w:val="21"/>
        </w:rPr>
      </w:pPr>
      <w:r>
        <w:rPr>
          <w:rFonts w:ascii="宋体" w:hAnsi="宋体" w:eastAsia="宋体" w:cs="宋体"/>
          <w:spacing w:val="3"/>
          <w:sz w:val="21"/>
          <w:szCs w:val="21"/>
        </w:rPr>
        <w:t>8.1.13储存容器储存压力为20</w:t>
      </w:r>
      <w:r>
        <w:rPr>
          <w:rFonts w:ascii="Times New Roman" w:hAnsi="Times New Roman" w:eastAsia="Times New Roman" w:cs="Times New Roman"/>
          <w:sz w:val="21"/>
          <w:szCs w:val="21"/>
        </w:rPr>
        <w:t>MPa</w:t>
      </w:r>
      <w:r>
        <w:rPr>
          <w:rFonts w:ascii="Times New Roman" w:hAnsi="Times New Roman" w:eastAsia="Times New Roman" w:cs="Times New Roman"/>
          <w:spacing w:val="3"/>
          <w:sz w:val="21"/>
          <w:szCs w:val="21"/>
        </w:rPr>
        <w:t>(20℃</w:t>
      </w:r>
      <w:r>
        <w:rPr>
          <w:rFonts w:ascii="宋体" w:hAnsi="宋体" w:eastAsia="宋体" w:cs="宋体"/>
          <w:spacing w:val="3"/>
          <w:sz w:val="21"/>
          <w:szCs w:val="21"/>
        </w:rPr>
        <w:t>时),充装量不应小</w:t>
      </w:r>
      <w:r>
        <w:rPr>
          <w:rFonts w:ascii="宋体" w:hAnsi="宋体" w:eastAsia="宋体" w:cs="宋体"/>
          <w:spacing w:val="-2"/>
          <w:sz w:val="21"/>
          <w:szCs w:val="21"/>
        </w:rPr>
        <w:t>于218.54</w:t>
      </w:r>
      <w:r>
        <w:rPr>
          <w:rFonts w:ascii="Times New Roman" w:hAnsi="Times New Roman" w:eastAsia="Times New Roman" w:cs="Times New Roman"/>
          <w:spacing w:val="-2"/>
          <w:sz w:val="21"/>
          <w:szCs w:val="21"/>
        </w:rPr>
        <w:t>kg/m³</w:t>
      </w:r>
      <w:r>
        <w:rPr>
          <w:rFonts w:ascii="宋体" w:hAnsi="宋体" w:eastAsia="宋体" w:cs="宋体"/>
          <w:spacing w:val="-2"/>
          <w:sz w:val="21"/>
          <w:szCs w:val="21"/>
        </w:rPr>
        <w:t>。</w:t>
      </w:r>
    </w:p>
    <w:p>
      <w:pPr>
        <w:spacing w:before="103" w:line="258" w:lineRule="auto"/>
        <w:ind w:left="9" w:right="20"/>
        <w:rPr>
          <w:rFonts w:ascii="宋体" w:hAnsi="宋体" w:eastAsia="宋体" w:cs="宋体"/>
          <w:sz w:val="21"/>
          <w:szCs w:val="21"/>
        </w:rPr>
      </w:pPr>
      <w:r>
        <w:drawing>
          <wp:anchor distT="0" distB="0" distL="0" distR="0" simplePos="0" relativeHeight="251663360" behindDoc="0" locked="0" layoutInCell="1" allowOverlap="1">
            <wp:simplePos x="0" y="0"/>
            <wp:positionH relativeFrom="column">
              <wp:posOffset>755650</wp:posOffset>
            </wp:positionH>
            <wp:positionV relativeFrom="paragraph">
              <wp:posOffset>739140</wp:posOffset>
            </wp:positionV>
            <wp:extent cx="2146300" cy="27940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21"/>
                    <a:stretch>
                      <a:fillRect/>
                    </a:stretch>
                  </pic:blipFill>
                  <pic:spPr>
                    <a:xfrm>
                      <a:off x="0" y="0"/>
                      <a:ext cx="2146286" cy="279393"/>
                    </a:xfrm>
                    <a:prstGeom prst="rect">
                      <a:avLst/>
                    </a:prstGeom>
                  </pic:spPr>
                </pic:pic>
              </a:graphicData>
            </a:graphic>
          </wp:anchor>
        </w:drawing>
      </w:r>
      <w:r>
        <w:rPr>
          <w:rFonts w:ascii="宋体" w:hAnsi="宋体" w:eastAsia="宋体" w:cs="宋体"/>
          <w:spacing w:val="5"/>
          <w:sz w:val="21"/>
          <w:szCs w:val="21"/>
        </w:rPr>
        <w:t>8.1.14灭火设计用量或惰化设计用量宜按</w:t>
      </w:r>
      <w:r>
        <w:rPr>
          <w:rFonts w:ascii="宋体" w:hAnsi="宋体" w:eastAsia="宋体" w:cs="宋体"/>
          <w:spacing w:val="4"/>
          <w:sz w:val="21"/>
          <w:szCs w:val="21"/>
        </w:rPr>
        <w:t>公式(8.1.14-1)计</w:t>
      </w:r>
      <w:r>
        <w:rPr>
          <w:rFonts w:ascii="宋体" w:hAnsi="宋体" w:eastAsia="宋体" w:cs="宋体"/>
          <w:spacing w:val="6"/>
          <w:sz w:val="21"/>
          <w:szCs w:val="21"/>
        </w:rPr>
        <w:t>算，也可用表8.1.14中淹没系数乘以</w:t>
      </w:r>
      <w:r>
        <w:rPr>
          <w:rFonts w:ascii="宋体" w:hAnsi="宋体" w:eastAsia="宋体" w:cs="宋体"/>
          <w:spacing w:val="5"/>
          <w:sz w:val="21"/>
          <w:szCs w:val="21"/>
        </w:rPr>
        <w:t>防护区净容积再除以比容</w:t>
      </w:r>
      <w:r>
        <w:rPr>
          <w:rFonts w:ascii="宋体" w:hAnsi="宋体" w:eastAsia="宋体" w:cs="宋体"/>
          <w:spacing w:val="-4"/>
          <w:sz w:val="21"/>
          <w:szCs w:val="21"/>
        </w:rPr>
        <w:t>确定：</w:t>
      </w:r>
    </w:p>
    <w:p>
      <w:pPr>
        <w:spacing w:before="282" w:line="222" w:lineRule="auto"/>
        <w:ind w:left="4789"/>
        <w:rPr>
          <w:rFonts w:ascii="宋体" w:hAnsi="宋体" w:eastAsia="宋体" w:cs="宋体"/>
          <w:sz w:val="21"/>
          <w:szCs w:val="21"/>
        </w:rPr>
      </w:pPr>
      <w:r>
        <w:rPr>
          <w:rFonts w:ascii="宋体" w:hAnsi="宋体" w:eastAsia="宋体" w:cs="宋体"/>
          <w:spacing w:val="-5"/>
          <w:sz w:val="21"/>
          <w:szCs w:val="21"/>
        </w:rPr>
        <w:t>(8.1.14-1)</w:t>
      </w:r>
    </w:p>
    <w:p>
      <w:pPr>
        <w:spacing w:before="307" w:line="214" w:lineRule="auto"/>
        <w:ind w:left="19"/>
        <w:rPr>
          <w:rFonts w:ascii="宋体" w:hAnsi="宋体" w:eastAsia="宋体" w:cs="宋体"/>
          <w:sz w:val="21"/>
          <w:szCs w:val="21"/>
        </w:rPr>
      </w:pPr>
      <w:r>
        <w:rPr>
          <w:rFonts w:ascii="宋体" w:hAnsi="宋体" w:eastAsia="宋体" w:cs="宋体"/>
          <w:spacing w:val="-5"/>
          <w:sz w:val="21"/>
          <w:szCs w:val="21"/>
        </w:rPr>
        <w:t>式中：MA——灭火设计基本用量(kg);</w:t>
      </w:r>
    </w:p>
    <w:p>
      <w:pPr>
        <w:spacing w:before="74" w:line="219" w:lineRule="auto"/>
        <w:ind w:left="539"/>
        <w:rPr>
          <w:rFonts w:ascii="宋体" w:hAnsi="宋体" w:eastAsia="宋体" w:cs="宋体"/>
          <w:sz w:val="21"/>
          <w:szCs w:val="21"/>
        </w:rPr>
      </w:pPr>
      <w:r>
        <w:rPr>
          <w:rFonts w:ascii="Times New Roman" w:hAnsi="Times New Roman" w:eastAsia="Times New Roman" w:cs="Times New Roman"/>
          <w:sz w:val="21"/>
          <w:szCs w:val="21"/>
        </w:rPr>
        <w:t>KH</w:t>
      </w:r>
      <w:r>
        <w:rPr>
          <w:rFonts w:ascii="Times New Roman" w:hAnsi="Times New Roman" w:eastAsia="Times New Roman" w:cs="Times New Roman"/>
          <w:spacing w:val="3"/>
          <w:sz w:val="21"/>
          <w:szCs w:val="21"/>
        </w:rPr>
        <w:t>——</w:t>
      </w:r>
      <w:r>
        <w:rPr>
          <w:rFonts w:ascii="宋体" w:hAnsi="宋体" w:eastAsia="宋体" w:cs="宋体"/>
          <w:spacing w:val="3"/>
          <w:sz w:val="21"/>
          <w:szCs w:val="21"/>
        </w:rPr>
        <w:t>海拔高度修正系数(上海地区取1.00);</w:t>
      </w:r>
    </w:p>
    <w:p>
      <w:pPr>
        <w:spacing w:before="57" w:line="212" w:lineRule="auto"/>
        <w:ind w:left="68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V——</w:t>
      </w:r>
      <w:r>
        <w:rPr>
          <w:rFonts w:ascii="宋体" w:hAnsi="宋体" w:eastAsia="宋体" w:cs="宋体"/>
          <w:spacing w:val="-1"/>
          <w:sz w:val="21"/>
          <w:szCs w:val="21"/>
        </w:rPr>
        <w:t>防护区净容积</w:t>
      </w:r>
      <w:r>
        <w:rPr>
          <w:rFonts w:ascii="Times New Roman" w:hAnsi="Times New Roman" w:eastAsia="Times New Roman" w:cs="Times New Roman"/>
          <w:spacing w:val="-1"/>
          <w:sz w:val="21"/>
          <w:szCs w:val="21"/>
        </w:rPr>
        <w:t>(m³);</w:t>
      </w:r>
    </w:p>
    <w:p>
      <w:pPr>
        <w:spacing w:before="103" w:line="249" w:lineRule="auto"/>
        <w:ind w:left="1278" w:hanging="589"/>
        <w:rPr>
          <w:rFonts w:ascii="宋体" w:hAnsi="宋体" w:eastAsia="宋体" w:cs="宋体"/>
          <w:sz w:val="21"/>
          <w:szCs w:val="21"/>
        </w:rPr>
      </w:pPr>
      <w:r>
        <w:rPr>
          <w:rFonts w:ascii="宋体" w:hAnsi="宋体" w:eastAsia="宋体" w:cs="宋体"/>
          <w:spacing w:val="9"/>
          <w:sz w:val="21"/>
          <w:szCs w:val="21"/>
        </w:rPr>
        <w:t>S——氮气过热蒸汽在T℃、101.3</w:t>
      </w:r>
      <w:r>
        <w:rPr>
          <w:rFonts w:ascii="宋体" w:hAnsi="宋体" w:eastAsia="宋体" w:cs="宋体"/>
          <w:sz w:val="21"/>
          <w:szCs w:val="21"/>
        </w:rPr>
        <w:t>kPa</w:t>
      </w:r>
      <w:r>
        <w:rPr>
          <w:rFonts w:ascii="宋体" w:hAnsi="宋体" w:eastAsia="宋体" w:cs="宋体"/>
          <w:spacing w:val="9"/>
          <w:sz w:val="21"/>
          <w:szCs w:val="21"/>
        </w:rPr>
        <w:t>大气压下的比容</w:t>
      </w:r>
      <w:r>
        <w:rPr>
          <w:rFonts w:ascii="Times New Roman" w:hAnsi="Times New Roman" w:eastAsia="Times New Roman" w:cs="Times New Roman"/>
          <w:spacing w:val="-1"/>
          <w:sz w:val="21"/>
          <w:szCs w:val="21"/>
        </w:rPr>
        <w:t>(m³/kg),</w:t>
      </w:r>
      <w:r>
        <w:rPr>
          <w:rFonts w:ascii="宋体" w:hAnsi="宋体" w:eastAsia="宋体" w:cs="宋体"/>
          <w:spacing w:val="-1"/>
          <w:sz w:val="21"/>
          <w:szCs w:val="21"/>
        </w:rPr>
        <w:t>可由公式(8.1.14-2)近似求得：</w:t>
      </w:r>
    </w:p>
    <w:p>
      <w:pPr>
        <w:spacing w:before="157" w:line="222" w:lineRule="auto"/>
        <w:ind w:left="1769"/>
        <w:rPr>
          <w:rFonts w:ascii="宋体" w:hAnsi="宋体" w:eastAsia="宋体" w:cs="宋体"/>
          <w:sz w:val="21"/>
          <w:szCs w:val="21"/>
        </w:rPr>
      </w:pPr>
      <w:r>
        <w:rPr>
          <w:rFonts w:ascii="Times New Roman" w:hAnsi="Times New Roman" w:eastAsia="Times New Roman" w:cs="Times New Roman"/>
          <w:spacing w:val="-2"/>
          <w:sz w:val="21"/>
          <w:szCs w:val="21"/>
        </w:rPr>
        <w:t>S=0.7997+0.00293T</w:t>
      </w:r>
      <w:r>
        <w:rPr>
          <w:rFonts w:ascii="宋体" w:hAnsi="宋体" w:eastAsia="宋体" w:cs="宋体"/>
          <w:spacing w:val="-2"/>
          <w:sz w:val="21"/>
          <w:szCs w:val="21"/>
        </w:rPr>
        <w:t>(8.1</w:t>
      </w:r>
      <w:r>
        <w:rPr>
          <w:rFonts w:ascii="宋体" w:hAnsi="宋体" w:eastAsia="宋体" w:cs="宋体"/>
          <w:spacing w:val="-3"/>
          <w:sz w:val="21"/>
          <w:szCs w:val="21"/>
        </w:rPr>
        <w:t>.14-2)</w:t>
      </w:r>
    </w:p>
    <w:p>
      <w:pPr>
        <w:spacing w:before="174" w:line="219" w:lineRule="auto"/>
        <w:ind w:left="19"/>
        <w:rPr>
          <w:rFonts w:ascii="宋体" w:hAnsi="宋体" w:eastAsia="宋体" w:cs="宋体"/>
          <w:sz w:val="21"/>
          <w:szCs w:val="21"/>
        </w:rPr>
      </w:pPr>
      <w:r>
        <w:rPr>
          <w:rFonts w:ascii="宋体" w:hAnsi="宋体" w:eastAsia="宋体" w:cs="宋体"/>
          <w:spacing w:val="-5"/>
          <w:sz w:val="21"/>
          <w:szCs w:val="21"/>
        </w:rPr>
        <w:t>式中：</w:t>
      </w:r>
      <w:r>
        <w:rPr>
          <w:rFonts w:ascii="Times New Roman" w:hAnsi="Times New Roman" w:eastAsia="Times New Roman" w:cs="Times New Roman"/>
          <w:spacing w:val="-5"/>
          <w:sz w:val="21"/>
          <w:szCs w:val="21"/>
        </w:rPr>
        <w:t>T——</w:t>
      </w:r>
      <w:r>
        <w:rPr>
          <w:rFonts w:ascii="宋体" w:hAnsi="宋体" w:eastAsia="宋体" w:cs="宋体"/>
          <w:spacing w:val="-5"/>
          <w:sz w:val="21"/>
          <w:szCs w:val="21"/>
        </w:rPr>
        <w:t>防护区内预期最低环境温度(℃);</w:t>
      </w:r>
    </w:p>
    <w:p>
      <w:pPr>
        <w:spacing w:before="59" w:line="219" w:lineRule="auto"/>
        <w:ind w:left="559"/>
        <w:rPr>
          <w:rFonts w:ascii="宋体" w:hAnsi="宋体" w:eastAsia="宋体" w:cs="宋体"/>
          <w:sz w:val="21"/>
          <w:szCs w:val="21"/>
        </w:rPr>
      </w:pPr>
      <w:r>
        <w:rPr>
          <w:rFonts w:ascii="Times New Roman" w:hAnsi="Times New Roman" w:eastAsia="Times New Roman" w:cs="Times New Roman"/>
          <w:spacing w:val="7"/>
          <w:sz w:val="21"/>
          <w:szCs w:val="21"/>
        </w:rPr>
        <w:t>C——</w:t>
      </w:r>
      <w:r>
        <w:rPr>
          <w:rFonts w:ascii="宋体" w:hAnsi="宋体" w:eastAsia="宋体" w:cs="宋体"/>
          <w:spacing w:val="7"/>
          <w:sz w:val="21"/>
          <w:szCs w:val="21"/>
        </w:rPr>
        <w:t>灭火剂设计浓度(%)。</w:t>
      </w:r>
    </w:p>
    <w:p>
      <w:pPr>
        <w:spacing w:line="219" w:lineRule="auto"/>
        <w:rPr>
          <w:rFonts w:ascii="宋体" w:hAnsi="宋体" w:eastAsia="宋体" w:cs="宋体"/>
          <w:sz w:val="21"/>
          <w:szCs w:val="21"/>
        </w:rPr>
        <w:sectPr>
          <w:footerReference r:id="rId58" w:type="default"/>
          <w:pgSz w:w="8280" w:h="11850"/>
          <w:pgMar w:top="400" w:right="1199" w:bottom="1330" w:left="1210" w:header="0" w:footer="1056" w:gutter="0"/>
          <w:cols w:space="720" w:num="1"/>
        </w:sectPr>
      </w:pPr>
    </w:p>
    <w:p>
      <w:pPr>
        <w:pStyle w:val="2"/>
        <w:spacing w:line="268" w:lineRule="auto"/>
      </w:pPr>
    </w:p>
    <w:p>
      <w:pPr>
        <w:pStyle w:val="2"/>
        <w:spacing w:line="268" w:lineRule="auto"/>
      </w:pPr>
    </w:p>
    <w:p>
      <w:pPr>
        <w:pStyle w:val="2"/>
        <w:spacing w:line="268" w:lineRule="auto"/>
      </w:pPr>
    </w:p>
    <w:p>
      <w:pPr>
        <w:spacing w:before="68" w:line="212" w:lineRule="auto"/>
        <w:ind w:left="1202"/>
        <w:rPr>
          <w:rFonts w:ascii="Times New Roman" w:hAnsi="Times New Roman" w:eastAsia="Times New Roman" w:cs="Times New Roman"/>
          <w:sz w:val="21"/>
          <w:szCs w:val="21"/>
        </w:rPr>
      </w:pPr>
      <w:bookmarkStart w:id="44" w:name="bookmark90"/>
      <w:bookmarkEnd w:id="44"/>
      <w:r>
        <w:rPr>
          <w:rFonts w:ascii="黑体" w:hAnsi="黑体" w:eastAsia="黑体" w:cs="黑体"/>
          <w:b/>
          <w:bCs/>
          <w:spacing w:val="-10"/>
          <w:sz w:val="21"/>
          <w:szCs w:val="21"/>
        </w:rPr>
        <w:t>表8.1.14</w:t>
      </w:r>
      <w:r>
        <w:rPr>
          <w:rFonts w:ascii="Times New Roman" w:hAnsi="Times New Roman" w:eastAsia="Times New Roman" w:cs="Times New Roman"/>
          <w:b/>
          <w:bCs/>
          <w:spacing w:val="-10"/>
          <w:sz w:val="21"/>
          <w:szCs w:val="21"/>
        </w:rPr>
        <w:t>IG-100</w:t>
      </w:r>
      <w:r>
        <w:rPr>
          <w:rFonts w:ascii="黑体" w:hAnsi="黑体" w:eastAsia="黑体" w:cs="黑体"/>
          <w:b/>
          <w:bCs/>
          <w:spacing w:val="-10"/>
          <w:sz w:val="21"/>
          <w:szCs w:val="21"/>
        </w:rPr>
        <w:t>灭火剂淹没系数</w:t>
      </w:r>
      <w:r>
        <w:rPr>
          <w:rFonts w:ascii="Times New Roman" w:hAnsi="Times New Roman" w:eastAsia="Times New Roman" w:cs="Times New Roman"/>
          <w:b/>
          <w:bCs/>
          <w:spacing w:val="-10"/>
          <w:sz w:val="21"/>
          <w:szCs w:val="21"/>
        </w:rPr>
        <w:t>(m³/m³)</w:t>
      </w:r>
    </w:p>
    <w:p>
      <w:pPr>
        <w:spacing w:line="96" w:lineRule="exact"/>
      </w:pPr>
    </w:p>
    <w:tbl>
      <w:tblPr>
        <w:tblStyle w:val="5"/>
        <w:tblW w:w="586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3"/>
        <w:gridCol w:w="649"/>
        <w:gridCol w:w="569"/>
        <w:gridCol w:w="569"/>
        <w:gridCol w:w="559"/>
        <w:gridCol w:w="569"/>
        <w:gridCol w:w="579"/>
        <w:gridCol w:w="569"/>
        <w:gridCol w:w="569"/>
        <w:gridCol w:w="6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33" w:type="dxa"/>
            <w:vAlign w:val="top"/>
          </w:tcPr>
          <w:p>
            <w:pPr>
              <w:pStyle w:val="6"/>
              <w:spacing w:before="92" w:line="220" w:lineRule="auto"/>
              <w:ind w:right="2"/>
              <w:jc w:val="right"/>
              <w:rPr>
                <w:sz w:val="16"/>
                <w:szCs w:val="16"/>
              </w:rPr>
            </w:pPr>
            <w:r>
              <w:rPr>
                <w:spacing w:val="7"/>
                <w:sz w:val="16"/>
                <w:szCs w:val="16"/>
              </w:rPr>
              <w:t>温度(T)</w:t>
            </w:r>
          </w:p>
        </w:tc>
        <w:tc>
          <w:tcPr>
            <w:tcW w:w="649" w:type="dxa"/>
            <w:vAlign w:val="top"/>
          </w:tcPr>
          <w:p>
            <w:pPr>
              <w:pStyle w:val="6"/>
              <w:spacing w:before="92" w:line="220" w:lineRule="auto"/>
              <w:ind w:left="31"/>
              <w:rPr>
                <w:sz w:val="16"/>
                <w:szCs w:val="16"/>
              </w:rPr>
            </w:pPr>
            <w:r>
              <w:rPr>
                <w:spacing w:val="7"/>
                <w:sz w:val="16"/>
                <w:szCs w:val="16"/>
              </w:rPr>
              <w:t>比容(S)</w:t>
            </w:r>
          </w:p>
        </w:tc>
        <w:tc>
          <w:tcPr>
            <w:tcW w:w="4587" w:type="dxa"/>
            <w:gridSpan w:val="8"/>
            <w:vAlign w:val="top"/>
          </w:tcPr>
          <w:p>
            <w:pPr>
              <w:pStyle w:val="6"/>
              <w:spacing w:before="90" w:line="219" w:lineRule="auto"/>
              <w:ind w:left="1572"/>
              <w:rPr>
                <w:sz w:val="16"/>
                <w:szCs w:val="16"/>
              </w:rPr>
            </w:pPr>
            <w:r>
              <w:rPr>
                <w:spacing w:val="3"/>
                <w:sz w:val="16"/>
                <w:szCs w:val="16"/>
              </w:rPr>
              <w:t>设计灭火剂浓度(%)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33" w:type="dxa"/>
            <w:vAlign w:val="top"/>
          </w:tcPr>
          <w:p>
            <w:pPr>
              <w:pStyle w:val="6"/>
              <w:spacing w:before="90" w:line="222" w:lineRule="auto"/>
              <w:ind w:left="144"/>
              <w:rPr>
                <w:sz w:val="16"/>
                <w:szCs w:val="16"/>
              </w:rPr>
            </w:pPr>
            <w:r>
              <w:rPr>
                <w:spacing w:val="-9"/>
                <w:sz w:val="16"/>
                <w:szCs w:val="16"/>
              </w:rPr>
              <w:t>(℃)</w:t>
            </w:r>
          </w:p>
        </w:tc>
        <w:tc>
          <w:tcPr>
            <w:tcW w:w="649" w:type="dxa"/>
            <w:vAlign w:val="top"/>
          </w:tcPr>
          <w:p>
            <w:pPr>
              <w:pStyle w:val="6"/>
              <w:spacing w:before="82" w:line="214" w:lineRule="auto"/>
              <w:ind w:left="11"/>
              <w:rPr>
                <w:sz w:val="16"/>
                <w:szCs w:val="16"/>
              </w:rPr>
            </w:pPr>
            <w:r>
              <w:rPr>
                <w:spacing w:val="-5"/>
                <w:sz w:val="16"/>
                <w:szCs w:val="16"/>
              </w:rPr>
              <w:t>(m³/kg)</w:t>
            </w:r>
          </w:p>
        </w:tc>
        <w:tc>
          <w:tcPr>
            <w:tcW w:w="569" w:type="dxa"/>
            <w:vAlign w:val="top"/>
          </w:tcPr>
          <w:p>
            <w:pPr>
              <w:pStyle w:val="6"/>
              <w:spacing w:before="103"/>
              <w:ind w:left="192"/>
              <w:rPr>
                <w:sz w:val="16"/>
                <w:szCs w:val="16"/>
              </w:rPr>
            </w:pPr>
            <w:r>
              <w:rPr>
                <w:spacing w:val="-3"/>
                <w:sz w:val="16"/>
                <w:szCs w:val="16"/>
              </w:rPr>
              <w:t>34</w:t>
            </w:r>
          </w:p>
        </w:tc>
        <w:tc>
          <w:tcPr>
            <w:tcW w:w="569" w:type="dxa"/>
            <w:vAlign w:val="top"/>
          </w:tcPr>
          <w:p>
            <w:pPr>
              <w:pStyle w:val="6"/>
              <w:spacing w:before="103"/>
              <w:ind w:left="193"/>
              <w:rPr>
                <w:sz w:val="16"/>
                <w:szCs w:val="16"/>
              </w:rPr>
            </w:pPr>
            <w:r>
              <w:rPr>
                <w:spacing w:val="-3"/>
                <w:sz w:val="16"/>
                <w:szCs w:val="16"/>
              </w:rPr>
              <w:t>37</w:t>
            </w:r>
          </w:p>
        </w:tc>
        <w:tc>
          <w:tcPr>
            <w:tcW w:w="559" w:type="dxa"/>
            <w:vAlign w:val="top"/>
          </w:tcPr>
          <w:p>
            <w:pPr>
              <w:pStyle w:val="6"/>
              <w:spacing w:before="103"/>
              <w:ind w:left="194"/>
              <w:rPr>
                <w:sz w:val="16"/>
                <w:szCs w:val="16"/>
              </w:rPr>
            </w:pPr>
            <w:r>
              <w:rPr>
                <w:spacing w:val="-2"/>
                <w:sz w:val="16"/>
                <w:szCs w:val="16"/>
              </w:rPr>
              <w:t>40</w:t>
            </w:r>
          </w:p>
        </w:tc>
        <w:tc>
          <w:tcPr>
            <w:tcW w:w="569" w:type="dxa"/>
            <w:vAlign w:val="top"/>
          </w:tcPr>
          <w:p>
            <w:pPr>
              <w:pStyle w:val="6"/>
              <w:spacing w:before="103" w:line="241" w:lineRule="auto"/>
              <w:ind w:left="195"/>
              <w:rPr>
                <w:sz w:val="16"/>
                <w:szCs w:val="16"/>
              </w:rPr>
            </w:pPr>
            <w:r>
              <w:rPr>
                <w:spacing w:val="-2"/>
                <w:sz w:val="16"/>
                <w:szCs w:val="16"/>
              </w:rPr>
              <w:t>42</w:t>
            </w:r>
          </w:p>
        </w:tc>
        <w:tc>
          <w:tcPr>
            <w:tcW w:w="579" w:type="dxa"/>
            <w:vAlign w:val="top"/>
          </w:tcPr>
          <w:p>
            <w:pPr>
              <w:pStyle w:val="6"/>
              <w:spacing w:before="103"/>
              <w:ind w:left="206"/>
              <w:rPr>
                <w:sz w:val="16"/>
                <w:szCs w:val="16"/>
              </w:rPr>
            </w:pPr>
            <w:r>
              <w:rPr>
                <w:spacing w:val="-2"/>
                <w:sz w:val="16"/>
                <w:szCs w:val="16"/>
              </w:rPr>
              <w:t>47</w:t>
            </w:r>
          </w:p>
        </w:tc>
        <w:tc>
          <w:tcPr>
            <w:tcW w:w="569" w:type="dxa"/>
            <w:vAlign w:val="top"/>
          </w:tcPr>
          <w:p>
            <w:pPr>
              <w:pStyle w:val="6"/>
              <w:spacing w:before="103"/>
              <w:ind w:left="197"/>
              <w:rPr>
                <w:sz w:val="16"/>
                <w:szCs w:val="16"/>
              </w:rPr>
            </w:pPr>
            <w:r>
              <w:rPr>
                <w:spacing w:val="-2"/>
                <w:sz w:val="16"/>
                <w:szCs w:val="16"/>
              </w:rPr>
              <w:t>49</w:t>
            </w:r>
          </w:p>
        </w:tc>
        <w:tc>
          <w:tcPr>
            <w:tcW w:w="569" w:type="dxa"/>
            <w:vAlign w:val="top"/>
          </w:tcPr>
          <w:p>
            <w:pPr>
              <w:pStyle w:val="6"/>
              <w:spacing w:before="103"/>
              <w:ind w:left="198"/>
              <w:rPr>
                <w:sz w:val="16"/>
                <w:szCs w:val="16"/>
              </w:rPr>
            </w:pPr>
            <w:r>
              <w:rPr>
                <w:spacing w:val="-3"/>
                <w:sz w:val="16"/>
                <w:szCs w:val="16"/>
              </w:rPr>
              <w:t>58</w:t>
            </w:r>
          </w:p>
        </w:tc>
        <w:tc>
          <w:tcPr>
            <w:tcW w:w="604" w:type="dxa"/>
            <w:vAlign w:val="top"/>
          </w:tcPr>
          <w:p>
            <w:pPr>
              <w:pStyle w:val="6"/>
              <w:spacing w:before="103"/>
              <w:ind w:left="229"/>
              <w:rPr>
                <w:sz w:val="16"/>
                <w:szCs w:val="16"/>
              </w:rPr>
            </w:pPr>
            <w:r>
              <w:rPr>
                <w:spacing w:val="-2"/>
                <w:sz w:val="16"/>
                <w:szCs w:val="16"/>
              </w:rPr>
              <w:t>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33" w:type="dxa"/>
            <w:vAlign w:val="top"/>
          </w:tcPr>
          <w:p>
            <w:pPr>
              <w:pStyle w:val="6"/>
              <w:spacing w:before="104"/>
              <w:ind w:left="184"/>
              <w:rPr>
                <w:sz w:val="16"/>
                <w:szCs w:val="16"/>
              </w:rPr>
            </w:pPr>
            <w:r>
              <w:rPr>
                <w:spacing w:val="-2"/>
                <w:sz w:val="16"/>
                <w:szCs w:val="16"/>
              </w:rPr>
              <w:t>-20</w:t>
            </w:r>
          </w:p>
        </w:tc>
        <w:tc>
          <w:tcPr>
            <w:tcW w:w="649" w:type="dxa"/>
            <w:vAlign w:val="top"/>
          </w:tcPr>
          <w:p>
            <w:pPr>
              <w:pStyle w:val="6"/>
              <w:spacing w:before="104" w:line="239" w:lineRule="auto"/>
              <w:ind w:left="71"/>
              <w:rPr>
                <w:sz w:val="16"/>
                <w:szCs w:val="16"/>
              </w:rPr>
            </w:pPr>
            <w:r>
              <w:rPr>
                <w:spacing w:val="-2"/>
                <w:sz w:val="16"/>
                <w:szCs w:val="16"/>
              </w:rPr>
              <w:t>0.7412</w:t>
            </w:r>
          </w:p>
        </w:tc>
        <w:tc>
          <w:tcPr>
            <w:tcW w:w="569" w:type="dxa"/>
            <w:vAlign w:val="top"/>
          </w:tcPr>
          <w:p>
            <w:pPr>
              <w:pStyle w:val="6"/>
              <w:spacing w:before="104" w:line="239" w:lineRule="auto"/>
              <w:ind w:left="32"/>
              <w:rPr>
                <w:sz w:val="16"/>
                <w:szCs w:val="16"/>
              </w:rPr>
            </w:pPr>
            <w:r>
              <w:rPr>
                <w:spacing w:val="-2"/>
                <w:sz w:val="16"/>
                <w:szCs w:val="16"/>
              </w:rPr>
              <w:t>0.4811</w:t>
            </w:r>
          </w:p>
        </w:tc>
        <w:tc>
          <w:tcPr>
            <w:tcW w:w="569" w:type="dxa"/>
            <w:vAlign w:val="top"/>
          </w:tcPr>
          <w:p>
            <w:pPr>
              <w:pStyle w:val="6"/>
              <w:spacing w:before="104" w:line="239" w:lineRule="auto"/>
              <w:ind w:left="33"/>
              <w:rPr>
                <w:sz w:val="16"/>
                <w:szCs w:val="16"/>
              </w:rPr>
            </w:pPr>
            <w:r>
              <w:rPr>
                <w:spacing w:val="-2"/>
                <w:sz w:val="16"/>
                <w:szCs w:val="16"/>
              </w:rPr>
              <w:t>0.5350</w:t>
            </w:r>
          </w:p>
        </w:tc>
        <w:tc>
          <w:tcPr>
            <w:tcW w:w="559" w:type="dxa"/>
            <w:vAlign w:val="top"/>
          </w:tcPr>
          <w:p>
            <w:pPr>
              <w:pStyle w:val="6"/>
              <w:spacing w:before="104" w:line="239" w:lineRule="auto"/>
              <w:ind w:left="34"/>
              <w:rPr>
                <w:sz w:val="16"/>
                <w:szCs w:val="16"/>
              </w:rPr>
            </w:pPr>
            <w:r>
              <w:rPr>
                <w:spacing w:val="-2"/>
                <w:sz w:val="16"/>
                <w:szCs w:val="16"/>
              </w:rPr>
              <w:t>0.5915</w:t>
            </w:r>
          </w:p>
        </w:tc>
        <w:tc>
          <w:tcPr>
            <w:tcW w:w="569" w:type="dxa"/>
            <w:vAlign w:val="top"/>
          </w:tcPr>
          <w:p>
            <w:pPr>
              <w:pStyle w:val="6"/>
              <w:spacing w:before="104" w:line="239" w:lineRule="auto"/>
              <w:ind w:left="35"/>
              <w:rPr>
                <w:sz w:val="16"/>
                <w:szCs w:val="16"/>
              </w:rPr>
            </w:pPr>
            <w:r>
              <w:rPr>
                <w:spacing w:val="-2"/>
                <w:sz w:val="16"/>
                <w:szCs w:val="16"/>
              </w:rPr>
              <w:t>0.6308</w:t>
            </w:r>
          </w:p>
        </w:tc>
        <w:tc>
          <w:tcPr>
            <w:tcW w:w="579" w:type="dxa"/>
            <w:vAlign w:val="top"/>
          </w:tcPr>
          <w:p>
            <w:pPr>
              <w:pStyle w:val="6"/>
              <w:spacing w:before="104" w:line="239" w:lineRule="auto"/>
              <w:ind w:left="46"/>
              <w:rPr>
                <w:sz w:val="16"/>
                <w:szCs w:val="16"/>
              </w:rPr>
            </w:pPr>
            <w:r>
              <w:rPr>
                <w:spacing w:val="-2"/>
                <w:sz w:val="16"/>
                <w:szCs w:val="16"/>
              </w:rPr>
              <w:t>0.7352</w:t>
            </w:r>
          </w:p>
        </w:tc>
        <w:tc>
          <w:tcPr>
            <w:tcW w:w="569" w:type="dxa"/>
            <w:vAlign w:val="top"/>
          </w:tcPr>
          <w:p>
            <w:pPr>
              <w:pStyle w:val="6"/>
              <w:spacing w:before="104" w:line="239" w:lineRule="auto"/>
              <w:ind w:left="37"/>
              <w:rPr>
                <w:sz w:val="16"/>
                <w:szCs w:val="16"/>
              </w:rPr>
            </w:pPr>
            <w:r>
              <w:rPr>
                <w:spacing w:val="-2"/>
                <w:sz w:val="16"/>
                <w:szCs w:val="16"/>
              </w:rPr>
              <w:t>0.7797</w:t>
            </w:r>
          </w:p>
        </w:tc>
        <w:tc>
          <w:tcPr>
            <w:tcW w:w="569" w:type="dxa"/>
            <w:vAlign w:val="top"/>
          </w:tcPr>
          <w:p>
            <w:pPr>
              <w:pStyle w:val="6"/>
              <w:spacing w:before="104" w:line="239" w:lineRule="auto"/>
              <w:ind w:left="38"/>
              <w:rPr>
                <w:sz w:val="16"/>
                <w:szCs w:val="16"/>
              </w:rPr>
            </w:pPr>
            <w:r>
              <w:rPr>
                <w:spacing w:val="-3"/>
                <w:sz w:val="16"/>
                <w:szCs w:val="16"/>
              </w:rPr>
              <w:t>1.0045</w:t>
            </w:r>
          </w:p>
        </w:tc>
        <w:tc>
          <w:tcPr>
            <w:tcW w:w="604" w:type="dxa"/>
            <w:vAlign w:val="top"/>
          </w:tcPr>
          <w:p>
            <w:pPr>
              <w:pStyle w:val="6"/>
              <w:spacing w:before="104" w:line="239" w:lineRule="auto"/>
              <w:ind w:left="99"/>
              <w:rPr>
                <w:sz w:val="16"/>
                <w:szCs w:val="16"/>
              </w:rPr>
            </w:pPr>
            <w:r>
              <w:rPr>
                <w:spacing w:val="-3"/>
                <w:sz w:val="16"/>
                <w:szCs w:val="16"/>
              </w:rPr>
              <w:t>1.1204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33" w:type="dxa"/>
            <w:vAlign w:val="top"/>
          </w:tcPr>
          <w:p>
            <w:pPr>
              <w:pStyle w:val="6"/>
              <w:spacing w:before="105"/>
              <w:ind w:left="184"/>
              <w:rPr>
                <w:sz w:val="16"/>
                <w:szCs w:val="16"/>
              </w:rPr>
            </w:pPr>
            <w:r>
              <w:rPr>
                <w:spacing w:val="-2"/>
                <w:sz w:val="16"/>
                <w:szCs w:val="16"/>
              </w:rPr>
              <w:t>-10</w:t>
            </w:r>
          </w:p>
        </w:tc>
        <w:tc>
          <w:tcPr>
            <w:tcW w:w="649" w:type="dxa"/>
            <w:vAlign w:val="top"/>
          </w:tcPr>
          <w:p>
            <w:pPr>
              <w:pStyle w:val="6"/>
              <w:spacing w:before="105" w:line="239" w:lineRule="auto"/>
              <w:ind w:left="71"/>
              <w:rPr>
                <w:sz w:val="16"/>
                <w:szCs w:val="16"/>
              </w:rPr>
            </w:pPr>
            <w:r>
              <w:rPr>
                <w:spacing w:val="-2"/>
                <w:sz w:val="16"/>
                <w:szCs w:val="16"/>
              </w:rPr>
              <w:t>0.7704</w:t>
            </w:r>
          </w:p>
        </w:tc>
        <w:tc>
          <w:tcPr>
            <w:tcW w:w="569" w:type="dxa"/>
            <w:vAlign w:val="top"/>
          </w:tcPr>
          <w:p>
            <w:pPr>
              <w:pStyle w:val="6"/>
              <w:spacing w:before="105" w:line="239" w:lineRule="auto"/>
              <w:ind w:left="32"/>
              <w:rPr>
                <w:sz w:val="16"/>
                <w:szCs w:val="16"/>
              </w:rPr>
            </w:pPr>
            <w:r>
              <w:rPr>
                <w:spacing w:val="-2"/>
                <w:sz w:val="16"/>
                <w:szCs w:val="16"/>
              </w:rPr>
              <w:t>0.4629</w:t>
            </w:r>
          </w:p>
        </w:tc>
        <w:tc>
          <w:tcPr>
            <w:tcW w:w="569" w:type="dxa"/>
            <w:vAlign w:val="top"/>
          </w:tcPr>
          <w:p>
            <w:pPr>
              <w:pStyle w:val="6"/>
              <w:spacing w:before="105" w:line="239" w:lineRule="auto"/>
              <w:ind w:left="33"/>
              <w:rPr>
                <w:sz w:val="16"/>
                <w:szCs w:val="16"/>
              </w:rPr>
            </w:pPr>
            <w:r>
              <w:rPr>
                <w:spacing w:val="-2"/>
                <w:sz w:val="16"/>
                <w:szCs w:val="16"/>
              </w:rPr>
              <w:t>0.5147</w:t>
            </w:r>
          </w:p>
        </w:tc>
        <w:tc>
          <w:tcPr>
            <w:tcW w:w="559" w:type="dxa"/>
            <w:vAlign w:val="top"/>
          </w:tcPr>
          <w:p>
            <w:pPr>
              <w:pStyle w:val="6"/>
              <w:spacing w:before="105" w:line="239" w:lineRule="auto"/>
              <w:ind w:left="34"/>
              <w:rPr>
                <w:sz w:val="16"/>
                <w:szCs w:val="16"/>
              </w:rPr>
            </w:pPr>
            <w:r>
              <w:rPr>
                <w:spacing w:val="-2"/>
                <w:sz w:val="16"/>
                <w:szCs w:val="16"/>
              </w:rPr>
              <w:t>0.5691</w:t>
            </w:r>
          </w:p>
        </w:tc>
        <w:tc>
          <w:tcPr>
            <w:tcW w:w="569" w:type="dxa"/>
            <w:vAlign w:val="top"/>
          </w:tcPr>
          <w:p>
            <w:pPr>
              <w:pStyle w:val="6"/>
              <w:spacing w:before="105" w:line="239" w:lineRule="auto"/>
              <w:ind w:left="35"/>
              <w:rPr>
                <w:sz w:val="16"/>
                <w:szCs w:val="16"/>
              </w:rPr>
            </w:pPr>
            <w:r>
              <w:rPr>
                <w:spacing w:val="-2"/>
                <w:sz w:val="16"/>
                <w:szCs w:val="16"/>
              </w:rPr>
              <w:t>0.6069</w:t>
            </w:r>
          </w:p>
        </w:tc>
        <w:tc>
          <w:tcPr>
            <w:tcW w:w="579" w:type="dxa"/>
            <w:vAlign w:val="top"/>
          </w:tcPr>
          <w:p>
            <w:pPr>
              <w:pStyle w:val="6"/>
              <w:spacing w:before="105" w:line="239" w:lineRule="auto"/>
              <w:ind w:left="46"/>
              <w:rPr>
                <w:sz w:val="16"/>
                <w:szCs w:val="16"/>
              </w:rPr>
            </w:pPr>
            <w:r>
              <w:rPr>
                <w:spacing w:val="-2"/>
                <w:sz w:val="16"/>
                <w:szCs w:val="16"/>
              </w:rPr>
              <w:t>0.7073</w:t>
            </w:r>
          </w:p>
        </w:tc>
        <w:tc>
          <w:tcPr>
            <w:tcW w:w="569" w:type="dxa"/>
            <w:vAlign w:val="top"/>
          </w:tcPr>
          <w:p>
            <w:pPr>
              <w:pStyle w:val="6"/>
              <w:spacing w:before="105" w:line="239" w:lineRule="auto"/>
              <w:ind w:left="37"/>
              <w:rPr>
                <w:sz w:val="16"/>
                <w:szCs w:val="16"/>
              </w:rPr>
            </w:pPr>
            <w:r>
              <w:rPr>
                <w:spacing w:val="-2"/>
                <w:sz w:val="16"/>
                <w:szCs w:val="16"/>
              </w:rPr>
              <w:t>0.7501</w:t>
            </w:r>
          </w:p>
        </w:tc>
        <w:tc>
          <w:tcPr>
            <w:tcW w:w="569" w:type="dxa"/>
            <w:vAlign w:val="top"/>
          </w:tcPr>
          <w:p>
            <w:pPr>
              <w:pStyle w:val="6"/>
              <w:spacing w:before="105" w:line="239" w:lineRule="auto"/>
              <w:ind w:left="38"/>
              <w:rPr>
                <w:sz w:val="16"/>
                <w:szCs w:val="16"/>
              </w:rPr>
            </w:pPr>
            <w:r>
              <w:rPr>
                <w:spacing w:val="-2"/>
                <w:sz w:val="16"/>
                <w:szCs w:val="16"/>
              </w:rPr>
              <w:t>0.9664</w:t>
            </w:r>
          </w:p>
        </w:tc>
        <w:tc>
          <w:tcPr>
            <w:tcW w:w="604" w:type="dxa"/>
            <w:vAlign w:val="top"/>
          </w:tcPr>
          <w:p>
            <w:pPr>
              <w:pStyle w:val="6"/>
              <w:spacing w:before="105" w:line="239" w:lineRule="auto"/>
              <w:ind w:left="99"/>
              <w:rPr>
                <w:sz w:val="16"/>
                <w:szCs w:val="16"/>
              </w:rPr>
            </w:pPr>
            <w:r>
              <w:rPr>
                <w:spacing w:val="-3"/>
                <w:sz w:val="16"/>
                <w:szCs w:val="16"/>
              </w:rPr>
              <w:t>1.0779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33" w:type="dxa"/>
            <w:vAlign w:val="top"/>
          </w:tcPr>
          <w:p>
            <w:pPr>
              <w:pStyle w:val="6"/>
              <w:spacing w:before="106"/>
              <w:ind w:left="264"/>
              <w:rPr>
                <w:sz w:val="16"/>
                <w:szCs w:val="16"/>
              </w:rPr>
            </w:pPr>
            <w:r>
              <w:rPr>
                <w:sz w:val="16"/>
                <w:szCs w:val="16"/>
              </w:rPr>
              <w:t>0</w:t>
            </w:r>
          </w:p>
        </w:tc>
        <w:tc>
          <w:tcPr>
            <w:tcW w:w="649" w:type="dxa"/>
            <w:vAlign w:val="top"/>
          </w:tcPr>
          <w:p>
            <w:pPr>
              <w:pStyle w:val="6"/>
              <w:spacing w:before="106" w:line="239" w:lineRule="auto"/>
              <w:ind w:left="71"/>
              <w:rPr>
                <w:sz w:val="16"/>
                <w:szCs w:val="16"/>
              </w:rPr>
            </w:pPr>
            <w:r>
              <w:rPr>
                <w:spacing w:val="-2"/>
                <w:sz w:val="16"/>
                <w:szCs w:val="16"/>
              </w:rPr>
              <w:t>0.7997</w:t>
            </w:r>
          </w:p>
        </w:tc>
        <w:tc>
          <w:tcPr>
            <w:tcW w:w="569" w:type="dxa"/>
            <w:vAlign w:val="top"/>
          </w:tcPr>
          <w:p>
            <w:pPr>
              <w:pStyle w:val="6"/>
              <w:spacing w:before="106" w:line="239" w:lineRule="auto"/>
              <w:ind w:left="32"/>
              <w:rPr>
                <w:sz w:val="16"/>
                <w:szCs w:val="16"/>
              </w:rPr>
            </w:pPr>
            <w:r>
              <w:rPr>
                <w:spacing w:val="-2"/>
                <w:sz w:val="16"/>
                <w:szCs w:val="16"/>
              </w:rPr>
              <w:t>0.4459</w:t>
            </w:r>
          </w:p>
        </w:tc>
        <w:tc>
          <w:tcPr>
            <w:tcW w:w="569" w:type="dxa"/>
            <w:vAlign w:val="top"/>
          </w:tcPr>
          <w:p>
            <w:pPr>
              <w:pStyle w:val="6"/>
              <w:spacing w:before="106" w:line="239" w:lineRule="auto"/>
              <w:ind w:left="33"/>
              <w:rPr>
                <w:sz w:val="16"/>
                <w:szCs w:val="16"/>
              </w:rPr>
            </w:pPr>
            <w:r>
              <w:rPr>
                <w:spacing w:val="-2"/>
                <w:sz w:val="16"/>
                <w:szCs w:val="16"/>
              </w:rPr>
              <w:t>0.4959</w:t>
            </w:r>
          </w:p>
        </w:tc>
        <w:tc>
          <w:tcPr>
            <w:tcW w:w="559" w:type="dxa"/>
            <w:vAlign w:val="top"/>
          </w:tcPr>
          <w:p>
            <w:pPr>
              <w:pStyle w:val="6"/>
              <w:spacing w:before="106" w:line="239" w:lineRule="auto"/>
              <w:ind w:left="34"/>
              <w:rPr>
                <w:sz w:val="16"/>
                <w:szCs w:val="16"/>
              </w:rPr>
            </w:pPr>
            <w:r>
              <w:rPr>
                <w:spacing w:val="-2"/>
                <w:sz w:val="16"/>
                <w:szCs w:val="16"/>
              </w:rPr>
              <w:t>0.5482</w:t>
            </w:r>
          </w:p>
        </w:tc>
        <w:tc>
          <w:tcPr>
            <w:tcW w:w="569" w:type="dxa"/>
            <w:vAlign w:val="top"/>
          </w:tcPr>
          <w:p>
            <w:pPr>
              <w:pStyle w:val="6"/>
              <w:spacing w:before="106" w:line="239" w:lineRule="auto"/>
              <w:ind w:left="35"/>
              <w:rPr>
                <w:sz w:val="16"/>
                <w:szCs w:val="16"/>
              </w:rPr>
            </w:pPr>
            <w:r>
              <w:rPr>
                <w:spacing w:val="-2"/>
                <w:sz w:val="16"/>
                <w:szCs w:val="16"/>
              </w:rPr>
              <w:t>0.5846</w:t>
            </w:r>
          </w:p>
        </w:tc>
        <w:tc>
          <w:tcPr>
            <w:tcW w:w="579" w:type="dxa"/>
            <w:vAlign w:val="top"/>
          </w:tcPr>
          <w:p>
            <w:pPr>
              <w:pStyle w:val="6"/>
              <w:spacing w:before="106" w:line="239" w:lineRule="auto"/>
              <w:ind w:left="46"/>
              <w:rPr>
                <w:sz w:val="16"/>
                <w:szCs w:val="16"/>
              </w:rPr>
            </w:pPr>
            <w:r>
              <w:rPr>
                <w:spacing w:val="-2"/>
                <w:sz w:val="16"/>
                <w:szCs w:val="16"/>
              </w:rPr>
              <w:t>0.6814</w:t>
            </w:r>
          </w:p>
        </w:tc>
        <w:tc>
          <w:tcPr>
            <w:tcW w:w="569" w:type="dxa"/>
            <w:vAlign w:val="top"/>
          </w:tcPr>
          <w:p>
            <w:pPr>
              <w:pStyle w:val="6"/>
              <w:spacing w:before="106" w:line="239" w:lineRule="auto"/>
              <w:ind w:left="37"/>
              <w:rPr>
                <w:sz w:val="16"/>
                <w:szCs w:val="16"/>
              </w:rPr>
            </w:pPr>
            <w:r>
              <w:rPr>
                <w:spacing w:val="-2"/>
                <w:sz w:val="16"/>
                <w:szCs w:val="16"/>
              </w:rPr>
              <w:t>0.7227</w:t>
            </w:r>
          </w:p>
        </w:tc>
        <w:tc>
          <w:tcPr>
            <w:tcW w:w="569" w:type="dxa"/>
            <w:vAlign w:val="top"/>
          </w:tcPr>
          <w:p>
            <w:pPr>
              <w:pStyle w:val="6"/>
              <w:spacing w:before="106" w:line="239" w:lineRule="auto"/>
              <w:ind w:left="38"/>
              <w:rPr>
                <w:sz w:val="16"/>
                <w:szCs w:val="16"/>
              </w:rPr>
            </w:pPr>
            <w:r>
              <w:rPr>
                <w:spacing w:val="-2"/>
                <w:sz w:val="16"/>
                <w:szCs w:val="16"/>
              </w:rPr>
              <w:t>0.9310</w:t>
            </w:r>
          </w:p>
        </w:tc>
        <w:tc>
          <w:tcPr>
            <w:tcW w:w="604" w:type="dxa"/>
            <w:vAlign w:val="top"/>
          </w:tcPr>
          <w:p>
            <w:pPr>
              <w:pStyle w:val="6"/>
              <w:spacing w:before="106" w:line="239" w:lineRule="auto"/>
              <w:ind w:left="99"/>
              <w:rPr>
                <w:sz w:val="16"/>
                <w:szCs w:val="16"/>
              </w:rPr>
            </w:pPr>
            <w:r>
              <w:rPr>
                <w:spacing w:val="-3"/>
                <w:sz w:val="16"/>
                <w:szCs w:val="16"/>
              </w:rPr>
              <w:t>1.0384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33" w:type="dxa"/>
            <w:vAlign w:val="top"/>
          </w:tcPr>
          <w:p>
            <w:pPr>
              <w:pStyle w:val="6"/>
              <w:spacing w:before="107"/>
              <w:ind w:left="224"/>
              <w:rPr>
                <w:sz w:val="16"/>
                <w:szCs w:val="16"/>
              </w:rPr>
            </w:pPr>
            <w:r>
              <w:rPr>
                <w:spacing w:val="-5"/>
                <w:sz w:val="16"/>
                <w:szCs w:val="16"/>
              </w:rPr>
              <w:t>10</w:t>
            </w:r>
          </w:p>
        </w:tc>
        <w:tc>
          <w:tcPr>
            <w:tcW w:w="649" w:type="dxa"/>
            <w:vAlign w:val="top"/>
          </w:tcPr>
          <w:p>
            <w:pPr>
              <w:pStyle w:val="6"/>
              <w:spacing w:before="107" w:line="239" w:lineRule="auto"/>
              <w:ind w:left="71"/>
              <w:rPr>
                <w:sz w:val="16"/>
                <w:szCs w:val="16"/>
              </w:rPr>
            </w:pPr>
            <w:r>
              <w:rPr>
                <w:spacing w:val="-2"/>
                <w:sz w:val="16"/>
                <w:szCs w:val="16"/>
              </w:rPr>
              <w:t>0.8290</w:t>
            </w:r>
          </w:p>
        </w:tc>
        <w:tc>
          <w:tcPr>
            <w:tcW w:w="569" w:type="dxa"/>
            <w:vAlign w:val="top"/>
          </w:tcPr>
          <w:p>
            <w:pPr>
              <w:pStyle w:val="6"/>
              <w:spacing w:before="107" w:line="239" w:lineRule="auto"/>
              <w:ind w:left="32"/>
              <w:rPr>
                <w:sz w:val="16"/>
                <w:szCs w:val="16"/>
              </w:rPr>
            </w:pPr>
            <w:r>
              <w:rPr>
                <w:spacing w:val="-2"/>
                <w:sz w:val="16"/>
                <w:szCs w:val="16"/>
              </w:rPr>
              <w:t>0.4302</w:t>
            </w:r>
          </w:p>
        </w:tc>
        <w:tc>
          <w:tcPr>
            <w:tcW w:w="569" w:type="dxa"/>
            <w:vAlign w:val="top"/>
          </w:tcPr>
          <w:p>
            <w:pPr>
              <w:pStyle w:val="6"/>
              <w:spacing w:before="107" w:line="239" w:lineRule="auto"/>
              <w:ind w:left="33"/>
              <w:rPr>
                <w:sz w:val="16"/>
                <w:szCs w:val="16"/>
              </w:rPr>
            </w:pPr>
            <w:r>
              <w:rPr>
                <w:spacing w:val="-2"/>
                <w:sz w:val="16"/>
                <w:szCs w:val="16"/>
              </w:rPr>
              <w:t>0.4783</w:t>
            </w:r>
          </w:p>
        </w:tc>
        <w:tc>
          <w:tcPr>
            <w:tcW w:w="559" w:type="dxa"/>
            <w:vAlign w:val="top"/>
          </w:tcPr>
          <w:p>
            <w:pPr>
              <w:pStyle w:val="6"/>
              <w:spacing w:before="107" w:line="239" w:lineRule="auto"/>
              <w:ind w:left="34"/>
              <w:rPr>
                <w:sz w:val="16"/>
                <w:szCs w:val="16"/>
              </w:rPr>
            </w:pPr>
            <w:r>
              <w:rPr>
                <w:spacing w:val="-2"/>
                <w:sz w:val="16"/>
                <w:szCs w:val="16"/>
              </w:rPr>
              <w:t>0.5289</w:t>
            </w:r>
          </w:p>
        </w:tc>
        <w:tc>
          <w:tcPr>
            <w:tcW w:w="569" w:type="dxa"/>
            <w:vAlign w:val="top"/>
          </w:tcPr>
          <w:p>
            <w:pPr>
              <w:pStyle w:val="6"/>
              <w:spacing w:before="107" w:line="239" w:lineRule="auto"/>
              <w:ind w:left="35"/>
              <w:rPr>
                <w:sz w:val="16"/>
                <w:szCs w:val="16"/>
              </w:rPr>
            </w:pPr>
            <w:r>
              <w:rPr>
                <w:spacing w:val="-2"/>
                <w:sz w:val="16"/>
                <w:szCs w:val="16"/>
              </w:rPr>
              <w:t>0.5640</w:t>
            </w:r>
          </w:p>
        </w:tc>
        <w:tc>
          <w:tcPr>
            <w:tcW w:w="579" w:type="dxa"/>
            <w:vAlign w:val="top"/>
          </w:tcPr>
          <w:p>
            <w:pPr>
              <w:pStyle w:val="6"/>
              <w:spacing w:before="107" w:line="239" w:lineRule="auto"/>
              <w:ind w:left="46"/>
              <w:rPr>
                <w:sz w:val="16"/>
                <w:szCs w:val="16"/>
              </w:rPr>
            </w:pPr>
            <w:r>
              <w:rPr>
                <w:spacing w:val="-2"/>
                <w:sz w:val="16"/>
                <w:szCs w:val="16"/>
              </w:rPr>
              <w:t>0.6573</w:t>
            </w:r>
          </w:p>
        </w:tc>
        <w:tc>
          <w:tcPr>
            <w:tcW w:w="569" w:type="dxa"/>
            <w:vAlign w:val="top"/>
          </w:tcPr>
          <w:p>
            <w:pPr>
              <w:pStyle w:val="6"/>
              <w:spacing w:before="107" w:line="239" w:lineRule="auto"/>
              <w:ind w:left="37"/>
              <w:rPr>
                <w:sz w:val="16"/>
                <w:szCs w:val="16"/>
              </w:rPr>
            </w:pPr>
            <w:r>
              <w:rPr>
                <w:spacing w:val="-2"/>
                <w:sz w:val="16"/>
                <w:szCs w:val="16"/>
              </w:rPr>
              <w:t>0.6971</w:t>
            </w:r>
          </w:p>
        </w:tc>
        <w:tc>
          <w:tcPr>
            <w:tcW w:w="569" w:type="dxa"/>
            <w:vAlign w:val="top"/>
          </w:tcPr>
          <w:p>
            <w:pPr>
              <w:pStyle w:val="6"/>
              <w:spacing w:before="107" w:line="239" w:lineRule="auto"/>
              <w:ind w:left="38"/>
              <w:rPr>
                <w:sz w:val="16"/>
                <w:szCs w:val="16"/>
              </w:rPr>
            </w:pPr>
            <w:r>
              <w:rPr>
                <w:spacing w:val="-2"/>
                <w:sz w:val="16"/>
                <w:szCs w:val="16"/>
              </w:rPr>
              <w:t>0.8981</w:t>
            </w:r>
          </w:p>
        </w:tc>
        <w:tc>
          <w:tcPr>
            <w:tcW w:w="604" w:type="dxa"/>
            <w:vAlign w:val="top"/>
          </w:tcPr>
          <w:p>
            <w:pPr>
              <w:pStyle w:val="6"/>
              <w:spacing w:before="107" w:line="239" w:lineRule="auto"/>
              <w:ind w:left="99"/>
              <w:rPr>
                <w:sz w:val="16"/>
                <w:szCs w:val="16"/>
              </w:rPr>
            </w:pPr>
            <w:r>
              <w:rPr>
                <w:spacing w:val="-3"/>
                <w:sz w:val="16"/>
                <w:szCs w:val="16"/>
              </w:rPr>
              <w:t>1.0017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33" w:type="dxa"/>
            <w:vAlign w:val="top"/>
          </w:tcPr>
          <w:p>
            <w:pPr>
              <w:pStyle w:val="6"/>
              <w:spacing w:before="108"/>
              <w:ind w:left="224"/>
              <w:rPr>
                <w:sz w:val="16"/>
                <w:szCs w:val="16"/>
              </w:rPr>
            </w:pPr>
            <w:r>
              <w:rPr>
                <w:spacing w:val="-3"/>
                <w:sz w:val="16"/>
                <w:szCs w:val="16"/>
              </w:rPr>
              <w:t>20</w:t>
            </w:r>
          </w:p>
        </w:tc>
        <w:tc>
          <w:tcPr>
            <w:tcW w:w="649" w:type="dxa"/>
            <w:vAlign w:val="top"/>
          </w:tcPr>
          <w:p>
            <w:pPr>
              <w:pStyle w:val="6"/>
              <w:spacing w:before="108" w:line="239" w:lineRule="auto"/>
              <w:ind w:left="71"/>
              <w:rPr>
                <w:sz w:val="16"/>
                <w:szCs w:val="16"/>
              </w:rPr>
            </w:pPr>
            <w:r>
              <w:rPr>
                <w:spacing w:val="-2"/>
                <w:sz w:val="16"/>
                <w:szCs w:val="16"/>
              </w:rPr>
              <w:t>0.8582</w:t>
            </w:r>
          </w:p>
        </w:tc>
        <w:tc>
          <w:tcPr>
            <w:tcW w:w="569" w:type="dxa"/>
            <w:vAlign w:val="top"/>
          </w:tcPr>
          <w:p>
            <w:pPr>
              <w:pStyle w:val="6"/>
              <w:spacing w:before="108" w:line="239" w:lineRule="auto"/>
              <w:ind w:left="32"/>
              <w:rPr>
                <w:sz w:val="16"/>
                <w:szCs w:val="16"/>
              </w:rPr>
            </w:pPr>
            <w:r>
              <w:rPr>
                <w:spacing w:val="-2"/>
                <w:sz w:val="16"/>
                <w:szCs w:val="16"/>
              </w:rPr>
              <w:t>0.4155</w:t>
            </w:r>
          </w:p>
        </w:tc>
        <w:tc>
          <w:tcPr>
            <w:tcW w:w="569" w:type="dxa"/>
            <w:vAlign w:val="top"/>
          </w:tcPr>
          <w:p>
            <w:pPr>
              <w:pStyle w:val="6"/>
              <w:spacing w:before="108" w:line="239" w:lineRule="auto"/>
              <w:ind w:left="33"/>
              <w:rPr>
                <w:sz w:val="16"/>
                <w:szCs w:val="16"/>
              </w:rPr>
            </w:pPr>
            <w:r>
              <w:rPr>
                <w:spacing w:val="-2"/>
                <w:sz w:val="16"/>
                <w:szCs w:val="16"/>
              </w:rPr>
              <w:t>0.4621</w:t>
            </w:r>
          </w:p>
        </w:tc>
        <w:tc>
          <w:tcPr>
            <w:tcW w:w="559" w:type="dxa"/>
            <w:vAlign w:val="top"/>
          </w:tcPr>
          <w:p>
            <w:pPr>
              <w:pStyle w:val="6"/>
              <w:spacing w:before="108" w:line="239" w:lineRule="auto"/>
              <w:ind w:left="34"/>
              <w:rPr>
                <w:sz w:val="16"/>
                <w:szCs w:val="16"/>
              </w:rPr>
            </w:pPr>
            <w:r>
              <w:rPr>
                <w:spacing w:val="-2"/>
                <w:sz w:val="16"/>
                <w:szCs w:val="16"/>
              </w:rPr>
              <w:t>0.5109</w:t>
            </w:r>
          </w:p>
        </w:tc>
        <w:tc>
          <w:tcPr>
            <w:tcW w:w="569" w:type="dxa"/>
            <w:vAlign w:val="top"/>
          </w:tcPr>
          <w:p>
            <w:pPr>
              <w:pStyle w:val="6"/>
              <w:spacing w:before="108" w:line="239" w:lineRule="auto"/>
              <w:ind w:left="35"/>
              <w:rPr>
                <w:sz w:val="16"/>
                <w:szCs w:val="16"/>
              </w:rPr>
            </w:pPr>
            <w:r>
              <w:rPr>
                <w:spacing w:val="-2"/>
                <w:sz w:val="16"/>
                <w:szCs w:val="16"/>
              </w:rPr>
              <w:t>0.5448</w:t>
            </w:r>
          </w:p>
        </w:tc>
        <w:tc>
          <w:tcPr>
            <w:tcW w:w="579" w:type="dxa"/>
            <w:vAlign w:val="top"/>
          </w:tcPr>
          <w:p>
            <w:pPr>
              <w:pStyle w:val="6"/>
              <w:spacing w:before="108" w:line="239" w:lineRule="auto"/>
              <w:ind w:left="46"/>
              <w:rPr>
                <w:sz w:val="16"/>
                <w:szCs w:val="16"/>
              </w:rPr>
            </w:pPr>
            <w:r>
              <w:rPr>
                <w:spacing w:val="-2"/>
                <w:sz w:val="16"/>
                <w:szCs w:val="16"/>
              </w:rPr>
              <w:t>0.6349</w:t>
            </w:r>
          </w:p>
        </w:tc>
        <w:tc>
          <w:tcPr>
            <w:tcW w:w="569" w:type="dxa"/>
            <w:vAlign w:val="top"/>
          </w:tcPr>
          <w:p>
            <w:pPr>
              <w:pStyle w:val="6"/>
              <w:spacing w:before="108" w:line="239" w:lineRule="auto"/>
              <w:ind w:left="37"/>
              <w:rPr>
                <w:sz w:val="16"/>
                <w:szCs w:val="16"/>
              </w:rPr>
            </w:pPr>
            <w:r>
              <w:rPr>
                <w:spacing w:val="-2"/>
                <w:sz w:val="16"/>
                <w:szCs w:val="16"/>
              </w:rPr>
              <w:t>0.6734</w:t>
            </w:r>
          </w:p>
        </w:tc>
        <w:tc>
          <w:tcPr>
            <w:tcW w:w="569" w:type="dxa"/>
            <w:vAlign w:val="top"/>
          </w:tcPr>
          <w:p>
            <w:pPr>
              <w:pStyle w:val="6"/>
              <w:spacing w:before="108" w:line="239" w:lineRule="auto"/>
              <w:ind w:left="38"/>
              <w:rPr>
                <w:sz w:val="16"/>
                <w:szCs w:val="16"/>
              </w:rPr>
            </w:pPr>
            <w:r>
              <w:rPr>
                <w:spacing w:val="-2"/>
                <w:sz w:val="16"/>
                <w:szCs w:val="16"/>
              </w:rPr>
              <w:t>0.8676</w:t>
            </w:r>
          </w:p>
        </w:tc>
        <w:tc>
          <w:tcPr>
            <w:tcW w:w="604" w:type="dxa"/>
            <w:vAlign w:val="top"/>
          </w:tcPr>
          <w:p>
            <w:pPr>
              <w:pStyle w:val="6"/>
              <w:spacing w:before="108" w:line="239" w:lineRule="auto"/>
              <w:ind w:left="69"/>
              <w:rPr>
                <w:sz w:val="16"/>
                <w:szCs w:val="16"/>
              </w:rPr>
            </w:pPr>
            <w:r>
              <w:rPr>
                <w:spacing w:val="-2"/>
                <w:sz w:val="16"/>
                <w:szCs w:val="16"/>
              </w:rPr>
              <w:t>0.9677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633" w:type="dxa"/>
            <w:vAlign w:val="top"/>
          </w:tcPr>
          <w:p>
            <w:pPr>
              <w:pStyle w:val="6"/>
              <w:spacing w:before="109"/>
              <w:ind w:left="224"/>
              <w:rPr>
                <w:sz w:val="16"/>
                <w:szCs w:val="16"/>
              </w:rPr>
            </w:pPr>
            <w:r>
              <w:rPr>
                <w:spacing w:val="-3"/>
                <w:sz w:val="16"/>
                <w:szCs w:val="16"/>
              </w:rPr>
              <w:t>30</w:t>
            </w:r>
          </w:p>
        </w:tc>
        <w:tc>
          <w:tcPr>
            <w:tcW w:w="649" w:type="dxa"/>
            <w:vAlign w:val="top"/>
          </w:tcPr>
          <w:p>
            <w:pPr>
              <w:pStyle w:val="6"/>
              <w:spacing w:before="109" w:line="239" w:lineRule="auto"/>
              <w:ind w:left="71"/>
              <w:rPr>
                <w:sz w:val="16"/>
                <w:szCs w:val="16"/>
              </w:rPr>
            </w:pPr>
            <w:r>
              <w:rPr>
                <w:spacing w:val="-2"/>
                <w:sz w:val="16"/>
                <w:szCs w:val="16"/>
              </w:rPr>
              <w:t>0.8875</w:t>
            </w:r>
          </w:p>
        </w:tc>
        <w:tc>
          <w:tcPr>
            <w:tcW w:w="569" w:type="dxa"/>
            <w:vAlign w:val="top"/>
          </w:tcPr>
          <w:p>
            <w:pPr>
              <w:pStyle w:val="6"/>
              <w:spacing w:before="109" w:line="239" w:lineRule="auto"/>
              <w:ind w:left="32"/>
              <w:rPr>
                <w:sz w:val="16"/>
                <w:szCs w:val="16"/>
              </w:rPr>
            </w:pPr>
            <w:r>
              <w:rPr>
                <w:spacing w:val="-2"/>
                <w:sz w:val="16"/>
                <w:szCs w:val="16"/>
              </w:rPr>
              <w:t>0.4018</w:t>
            </w:r>
          </w:p>
        </w:tc>
        <w:tc>
          <w:tcPr>
            <w:tcW w:w="569" w:type="dxa"/>
            <w:vAlign w:val="top"/>
          </w:tcPr>
          <w:p>
            <w:pPr>
              <w:pStyle w:val="6"/>
              <w:spacing w:before="109" w:line="239" w:lineRule="auto"/>
              <w:ind w:left="33"/>
              <w:rPr>
                <w:sz w:val="16"/>
                <w:szCs w:val="16"/>
              </w:rPr>
            </w:pPr>
            <w:r>
              <w:rPr>
                <w:spacing w:val="-2"/>
                <w:sz w:val="16"/>
                <w:szCs w:val="16"/>
              </w:rPr>
              <w:t>0.4468</w:t>
            </w:r>
          </w:p>
        </w:tc>
        <w:tc>
          <w:tcPr>
            <w:tcW w:w="559" w:type="dxa"/>
            <w:vAlign w:val="top"/>
          </w:tcPr>
          <w:p>
            <w:pPr>
              <w:pStyle w:val="6"/>
              <w:spacing w:before="109" w:line="239" w:lineRule="auto"/>
              <w:ind w:left="34"/>
              <w:rPr>
                <w:sz w:val="16"/>
                <w:szCs w:val="16"/>
              </w:rPr>
            </w:pPr>
            <w:r>
              <w:rPr>
                <w:spacing w:val="-2"/>
                <w:sz w:val="16"/>
                <w:szCs w:val="16"/>
              </w:rPr>
              <w:t>0.4940</w:t>
            </w:r>
          </w:p>
        </w:tc>
        <w:tc>
          <w:tcPr>
            <w:tcW w:w="569" w:type="dxa"/>
            <w:vAlign w:val="top"/>
          </w:tcPr>
          <w:p>
            <w:pPr>
              <w:pStyle w:val="6"/>
              <w:spacing w:before="109" w:line="239" w:lineRule="auto"/>
              <w:ind w:left="35"/>
              <w:rPr>
                <w:sz w:val="16"/>
                <w:szCs w:val="16"/>
              </w:rPr>
            </w:pPr>
            <w:r>
              <w:rPr>
                <w:spacing w:val="-2"/>
                <w:sz w:val="16"/>
                <w:szCs w:val="16"/>
              </w:rPr>
              <w:t>0.5268</w:t>
            </w:r>
          </w:p>
        </w:tc>
        <w:tc>
          <w:tcPr>
            <w:tcW w:w="579" w:type="dxa"/>
            <w:vAlign w:val="top"/>
          </w:tcPr>
          <w:p>
            <w:pPr>
              <w:pStyle w:val="6"/>
              <w:spacing w:before="109" w:line="239" w:lineRule="auto"/>
              <w:ind w:left="46"/>
              <w:rPr>
                <w:sz w:val="16"/>
                <w:szCs w:val="16"/>
              </w:rPr>
            </w:pPr>
            <w:r>
              <w:rPr>
                <w:spacing w:val="-2"/>
                <w:sz w:val="16"/>
                <w:szCs w:val="16"/>
              </w:rPr>
              <w:t>0.6140</w:t>
            </w:r>
          </w:p>
        </w:tc>
        <w:tc>
          <w:tcPr>
            <w:tcW w:w="569" w:type="dxa"/>
            <w:vAlign w:val="top"/>
          </w:tcPr>
          <w:p>
            <w:pPr>
              <w:pStyle w:val="6"/>
              <w:spacing w:before="109" w:line="239" w:lineRule="auto"/>
              <w:ind w:left="37"/>
              <w:rPr>
                <w:sz w:val="16"/>
                <w:szCs w:val="16"/>
              </w:rPr>
            </w:pPr>
            <w:r>
              <w:rPr>
                <w:spacing w:val="-2"/>
                <w:sz w:val="16"/>
                <w:szCs w:val="16"/>
              </w:rPr>
              <w:t>0.6512</w:t>
            </w:r>
          </w:p>
        </w:tc>
        <w:tc>
          <w:tcPr>
            <w:tcW w:w="569" w:type="dxa"/>
            <w:vAlign w:val="top"/>
          </w:tcPr>
          <w:p>
            <w:pPr>
              <w:pStyle w:val="6"/>
              <w:spacing w:before="109" w:line="239" w:lineRule="auto"/>
              <w:ind w:left="38"/>
              <w:rPr>
                <w:sz w:val="16"/>
                <w:szCs w:val="16"/>
              </w:rPr>
            </w:pPr>
            <w:r>
              <w:rPr>
                <w:spacing w:val="-2"/>
                <w:sz w:val="16"/>
                <w:szCs w:val="16"/>
              </w:rPr>
              <w:t>0.8389</w:t>
            </w:r>
          </w:p>
        </w:tc>
        <w:tc>
          <w:tcPr>
            <w:tcW w:w="604" w:type="dxa"/>
            <w:vAlign w:val="top"/>
          </w:tcPr>
          <w:p>
            <w:pPr>
              <w:pStyle w:val="6"/>
              <w:spacing w:before="109" w:line="239" w:lineRule="auto"/>
              <w:ind w:left="99"/>
              <w:rPr>
                <w:sz w:val="16"/>
                <w:szCs w:val="16"/>
              </w:rPr>
            </w:pPr>
            <w:r>
              <w:rPr>
                <w:spacing w:val="-2"/>
                <w:sz w:val="16"/>
                <w:szCs w:val="16"/>
              </w:rPr>
              <w:t>0.9357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33" w:type="dxa"/>
            <w:vAlign w:val="top"/>
          </w:tcPr>
          <w:p>
            <w:pPr>
              <w:pStyle w:val="6"/>
              <w:spacing w:before="110"/>
              <w:ind w:left="224"/>
              <w:rPr>
                <w:sz w:val="16"/>
                <w:szCs w:val="16"/>
              </w:rPr>
            </w:pPr>
            <w:r>
              <w:rPr>
                <w:spacing w:val="-2"/>
                <w:sz w:val="16"/>
                <w:szCs w:val="16"/>
              </w:rPr>
              <w:t>40</w:t>
            </w:r>
          </w:p>
        </w:tc>
        <w:tc>
          <w:tcPr>
            <w:tcW w:w="649" w:type="dxa"/>
            <w:vAlign w:val="top"/>
          </w:tcPr>
          <w:p>
            <w:pPr>
              <w:pStyle w:val="6"/>
              <w:spacing w:before="110" w:line="239" w:lineRule="auto"/>
              <w:ind w:left="71"/>
              <w:rPr>
                <w:sz w:val="16"/>
                <w:szCs w:val="16"/>
              </w:rPr>
            </w:pPr>
            <w:r>
              <w:rPr>
                <w:spacing w:val="-2"/>
                <w:sz w:val="16"/>
                <w:szCs w:val="16"/>
              </w:rPr>
              <w:t>0.9168</w:t>
            </w:r>
          </w:p>
        </w:tc>
        <w:tc>
          <w:tcPr>
            <w:tcW w:w="569" w:type="dxa"/>
            <w:vAlign w:val="top"/>
          </w:tcPr>
          <w:p>
            <w:pPr>
              <w:pStyle w:val="6"/>
              <w:spacing w:before="110" w:line="239" w:lineRule="auto"/>
              <w:ind w:left="32"/>
              <w:rPr>
                <w:sz w:val="16"/>
                <w:szCs w:val="16"/>
              </w:rPr>
            </w:pPr>
            <w:r>
              <w:rPr>
                <w:spacing w:val="-2"/>
                <w:sz w:val="16"/>
                <w:szCs w:val="16"/>
              </w:rPr>
              <w:t>0.3890</w:t>
            </w:r>
          </w:p>
        </w:tc>
        <w:tc>
          <w:tcPr>
            <w:tcW w:w="569" w:type="dxa"/>
            <w:vAlign w:val="top"/>
          </w:tcPr>
          <w:p>
            <w:pPr>
              <w:pStyle w:val="6"/>
              <w:spacing w:before="110" w:line="239" w:lineRule="auto"/>
              <w:ind w:left="33"/>
              <w:rPr>
                <w:sz w:val="16"/>
                <w:szCs w:val="16"/>
              </w:rPr>
            </w:pPr>
            <w:r>
              <w:rPr>
                <w:spacing w:val="-2"/>
                <w:sz w:val="16"/>
                <w:szCs w:val="16"/>
              </w:rPr>
              <w:t>0.4325</w:t>
            </w:r>
          </w:p>
        </w:tc>
        <w:tc>
          <w:tcPr>
            <w:tcW w:w="559" w:type="dxa"/>
            <w:vAlign w:val="top"/>
          </w:tcPr>
          <w:p>
            <w:pPr>
              <w:pStyle w:val="6"/>
              <w:spacing w:before="110" w:line="239" w:lineRule="auto"/>
              <w:ind w:left="34"/>
              <w:rPr>
                <w:sz w:val="16"/>
                <w:szCs w:val="16"/>
              </w:rPr>
            </w:pPr>
            <w:r>
              <w:rPr>
                <w:spacing w:val="-2"/>
                <w:sz w:val="16"/>
                <w:szCs w:val="16"/>
              </w:rPr>
              <w:t>0.4782</w:t>
            </w:r>
          </w:p>
        </w:tc>
        <w:tc>
          <w:tcPr>
            <w:tcW w:w="569" w:type="dxa"/>
            <w:vAlign w:val="top"/>
          </w:tcPr>
          <w:p>
            <w:pPr>
              <w:pStyle w:val="6"/>
              <w:spacing w:before="110" w:line="239" w:lineRule="auto"/>
              <w:ind w:left="35"/>
              <w:rPr>
                <w:sz w:val="16"/>
                <w:szCs w:val="16"/>
              </w:rPr>
            </w:pPr>
            <w:r>
              <w:rPr>
                <w:spacing w:val="-2"/>
                <w:sz w:val="16"/>
                <w:szCs w:val="16"/>
              </w:rPr>
              <w:t>0.5100</w:t>
            </w:r>
          </w:p>
        </w:tc>
        <w:tc>
          <w:tcPr>
            <w:tcW w:w="579" w:type="dxa"/>
            <w:vAlign w:val="top"/>
          </w:tcPr>
          <w:p>
            <w:pPr>
              <w:pStyle w:val="6"/>
              <w:spacing w:before="110" w:line="239" w:lineRule="auto"/>
              <w:ind w:left="46"/>
              <w:rPr>
                <w:sz w:val="16"/>
                <w:szCs w:val="16"/>
              </w:rPr>
            </w:pPr>
            <w:r>
              <w:rPr>
                <w:spacing w:val="-2"/>
                <w:sz w:val="16"/>
                <w:szCs w:val="16"/>
              </w:rPr>
              <w:t>0.5943</w:t>
            </w:r>
          </w:p>
        </w:tc>
        <w:tc>
          <w:tcPr>
            <w:tcW w:w="569" w:type="dxa"/>
            <w:vAlign w:val="top"/>
          </w:tcPr>
          <w:p>
            <w:pPr>
              <w:pStyle w:val="6"/>
              <w:spacing w:before="110" w:line="239" w:lineRule="auto"/>
              <w:ind w:left="37"/>
              <w:rPr>
                <w:sz w:val="16"/>
                <w:szCs w:val="16"/>
              </w:rPr>
            </w:pPr>
            <w:r>
              <w:rPr>
                <w:spacing w:val="-2"/>
                <w:sz w:val="16"/>
                <w:szCs w:val="16"/>
              </w:rPr>
              <w:t>0.6304</w:t>
            </w:r>
          </w:p>
        </w:tc>
        <w:tc>
          <w:tcPr>
            <w:tcW w:w="569" w:type="dxa"/>
            <w:vAlign w:val="top"/>
          </w:tcPr>
          <w:p>
            <w:pPr>
              <w:pStyle w:val="6"/>
              <w:spacing w:before="110" w:line="239" w:lineRule="auto"/>
              <w:ind w:left="38"/>
              <w:rPr>
                <w:sz w:val="16"/>
                <w:szCs w:val="16"/>
              </w:rPr>
            </w:pPr>
            <w:r>
              <w:rPr>
                <w:spacing w:val="-2"/>
                <w:sz w:val="16"/>
                <w:szCs w:val="16"/>
              </w:rPr>
              <w:t>0.8121</w:t>
            </w:r>
          </w:p>
        </w:tc>
        <w:tc>
          <w:tcPr>
            <w:tcW w:w="604" w:type="dxa"/>
            <w:vAlign w:val="top"/>
          </w:tcPr>
          <w:p>
            <w:pPr>
              <w:pStyle w:val="6"/>
              <w:spacing w:before="110" w:line="239" w:lineRule="auto"/>
              <w:ind w:left="99"/>
              <w:rPr>
                <w:sz w:val="16"/>
                <w:szCs w:val="16"/>
              </w:rPr>
            </w:pPr>
            <w:r>
              <w:rPr>
                <w:spacing w:val="-2"/>
                <w:sz w:val="16"/>
                <w:szCs w:val="16"/>
              </w:rPr>
              <w:t>0.9058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33" w:type="dxa"/>
            <w:vAlign w:val="top"/>
          </w:tcPr>
          <w:p>
            <w:pPr>
              <w:pStyle w:val="6"/>
              <w:spacing w:before="111"/>
              <w:ind w:left="224"/>
              <w:rPr>
                <w:sz w:val="16"/>
                <w:szCs w:val="16"/>
              </w:rPr>
            </w:pPr>
            <w:r>
              <w:rPr>
                <w:spacing w:val="-3"/>
                <w:sz w:val="16"/>
                <w:szCs w:val="16"/>
              </w:rPr>
              <w:t>50</w:t>
            </w:r>
          </w:p>
        </w:tc>
        <w:tc>
          <w:tcPr>
            <w:tcW w:w="649" w:type="dxa"/>
            <w:vAlign w:val="top"/>
          </w:tcPr>
          <w:p>
            <w:pPr>
              <w:pStyle w:val="6"/>
              <w:spacing w:before="111" w:line="239" w:lineRule="auto"/>
              <w:ind w:left="71"/>
              <w:rPr>
                <w:sz w:val="16"/>
                <w:szCs w:val="16"/>
              </w:rPr>
            </w:pPr>
            <w:r>
              <w:rPr>
                <w:spacing w:val="-2"/>
                <w:sz w:val="16"/>
                <w:szCs w:val="16"/>
              </w:rPr>
              <w:t>0.9461</w:t>
            </w:r>
          </w:p>
        </w:tc>
        <w:tc>
          <w:tcPr>
            <w:tcW w:w="569" w:type="dxa"/>
            <w:vAlign w:val="top"/>
          </w:tcPr>
          <w:p>
            <w:pPr>
              <w:pStyle w:val="6"/>
              <w:spacing w:before="111" w:line="239" w:lineRule="auto"/>
              <w:ind w:left="32"/>
              <w:rPr>
                <w:sz w:val="16"/>
                <w:szCs w:val="16"/>
              </w:rPr>
            </w:pPr>
            <w:r>
              <w:rPr>
                <w:spacing w:val="-2"/>
                <w:sz w:val="16"/>
                <w:szCs w:val="16"/>
              </w:rPr>
              <w:t>0.3769</w:t>
            </w:r>
          </w:p>
        </w:tc>
        <w:tc>
          <w:tcPr>
            <w:tcW w:w="569" w:type="dxa"/>
            <w:vAlign w:val="top"/>
          </w:tcPr>
          <w:p>
            <w:pPr>
              <w:pStyle w:val="6"/>
              <w:spacing w:before="111" w:line="239" w:lineRule="auto"/>
              <w:ind w:left="33"/>
              <w:rPr>
                <w:sz w:val="16"/>
                <w:szCs w:val="16"/>
              </w:rPr>
            </w:pPr>
            <w:r>
              <w:rPr>
                <w:spacing w:val="-2"/>
                <w:sz w:val="16"/>
                <w:szCs w:val="16"/>
              </w:rPr>
              <w:t>0.4191</w:t>
            </w:r>
          </w:p>
        </w:tc>
        <w:tc>
          <w:tcPr>
            <w:tcW w:w="559" w:type="dxa"/>
            <w:vAlign w:val="top"/>
          </w:tcPr>
          <w:p>
            <w:pPr>
              <w:pStyle w:val="6"/>
              <w:spacing w:before="111" w:line="239" w:lineRule="auto"/>
              <w:ind w:left="34"/>
              <w:rPr>
                <w:sz w:val="16"/>
                <w:szCs w:val="16"/>
              </w:rPr>
            </w:pPr>
            <w:r>
              <w:rPr>
                <w:spacing w:val="-2"/>
                <w:sz w:val="16"/>
                <w:szCs w:val="16"/>
              </w:rPr>
              <w:t>0.4634</w:t>
            </w:r>
          </w:p>
        </w:tc>
        <w:tc>
          <w:tcPr>
            <w:tcW w:w="569" w:type="dxa"/>
            <w:vAlign w:val="top"/>
          </w:tcPr>
          <w:p>
            <w:pPr>
              <w:pStyle w:val="6"/>
              <w:spacing w:before="111" w:line="239" w:lineRule="auto"/>
              <w:ind w:left="35"/>
              <w:rPr>
                <w:sz w:val="16"/>
                <w:szCs w:val="16"/>
              </w:rPr>
            </w:pPr>
            <w:r>
              <w:rPr>
                <w:spacing w:val="-2"/>
                <w:sz w:val="16"/>
                <w:szCs w:val="16"/>
              </w:rPr>
              <w:t>0.4942</w:t>
            </w:r>
          </w:p>
        </w:tc>
        <w:tc>
          <w:tcPr>
            <w:tcW w:w="579" w:type="dxa"/>
            <w:vAlign w:val="top"/>
          </w:tcPr>
          <w:p>
            <w:pPr>
              <w:pStyle w:val="6"/>
              <w:spacing w:before="111" w:line="239" w:lineRule="auto"/>
              <w:ind w:left="46"/>
              <w:rPr>
                <w:sz w:val="16"/>
                <w:szCs w:val="16"/>
              </w:rPr>
            </w:pPr>
            <w:r>
              <w:rPr>
                <w:spacing w:val="-2"/>
                <w:sz w:val="16"/>
                <w:szCs w:val="16"/>
              </w:rPr>
              <w:t>0.5759</w:t>
            </w:r>
          </w:p>
        </w:tc>
        <w:tc>
          <w:tcPr>
            <w:tcW w:w="569" w:type="dxa"/>
            <w:vAlign w:val="top"/>
          </w:tcPr>
          <w:p>
            <w:pPr>
              <w:pStyle w:val="6"/>
              <w:spacing w:before="111" w:line="239" w:lineRule="auto"/>
              <w:ind w:left="37"/>
              <w:rPr>
                <w:sz w:val="16"/>
                <w:szCs w:val="16"/>
              </w:rPr>
            </w:pPr>
            <w:r>
              <w:rPr>
                <w:spacing w:val="-2"/>
                <w:sz w:val="16"/>
                <w:szCs w:val="16"/>
              </w:rPr>
              <w:t>0.6108</w:t>
            </w:r>
          </w:p>
        </w:tc>
        <w:tc>
          <w:tcPr>
            <w:tcW w:w="569" w:type="dxa"/>
            <w:vAlign w:val="top"/>
          </w:tcPr>
          <w:p>
            <w:pPr>
              <w:pStyle w:val="6"/>
              <w:spacing w:before="111" w:line="239" w:lineRule="auto"/>
              <w:ind w:left="38"/>
              <w:rPr>
                <w:sz w:val="16"/>
                <w:szCs w:val="16"/>
              </w:rPr>
            </w:pPr>
            <w:r>
              <w:rPr>
                <w:spacing w:val="-2"/>
                <w:sz w:val="16"/>
                <w:szCs w:val="16"/>
              </w:rPr>
              <w:t>0.7870</w:t>
            </w:r>
          </w:p>
        </w:tc>
        <w:tc>
          <w:tcPr>
            <w:tcW w:w="604" w:type="dxa"/>
            <w:vAlign w:val="top"/>
          </w:tcPr>
          <w:p>
            <w:pPr>
              <w:pStyle w:val="6"/>
              <w:spacing w:before="111" w:line="239" w:lineRule="auto"/>
              <w:ind w:left="99"/>
              <w:rPr>
                <w:sz w:val="16"/>
                <w:szCs w:val="16"/>
              </w:rPr>
            </w:pPr>
            <w:r>
              <w:rPr>
                <w:spacing w:val="-2"/>
                <w:sz w:val="16"/>
                <w:szCs w:val="16"/>
              </w:rPr>
              <w:t>0.8778</w:t>
            </w:r>
          </w:p>
        </w:tc>
      </w:tr>
    </w:tbl>
    <w:p>
      <w:pPr>
        <w:spacing w:before="222" w:line="219" w:lineRule="auto"/>
        <w:ind w:left="3"/>
        <w:rPr>
          <w:rFonts w:ascii="宋体" w:hAnsi="宋体" w:eastAsia="宋体" w:cs="宋体"/>
          <w:sz w:val="21"/>
          <w:szCs w:val="21"/>
        </w:rPr>
      </w:pPr>
      <w:r>
        <w:rPr>
          <w:rFonts w:ascii="宋体" w:hAnsi="宋体" w:eastAsia="宋体" w:cs="宋体"/>
          <w:b/>
          <w:bCs/>
          <w:spacing w:val="-2"/>
          <w:sz w:val="21"/>
          <w:szCs w:val="21"/>
        </w:rPr>
        <w:t>8.1.15</w:t>
      </w:r>
      <w:r>
        <w:rPr>
          <w:rFonts w:ascii="宋体" w:hAnsi="宋体" w:eastAsia="宋体" w:cs="宋体"/>
          <w:spacing w:val="-2"/>
          <w:sz w:val="21"/>
          <w:szCs w:val="21"/>
        </w:rPr>
        <w:t>氮气灭火剂设计浓度应符合下列规定：</w:t>
      </w:r>
    </w:p>
    <w:p>
      <w:pPr>
        <w:spacing w:before="72" w:line="284" w:lineRule="auto"/>
        <w:ind w:right="36" w:firstLine="403"/>
        <w:rPr>
          <w:rFonts w:ascii="宋体" w:hAnsi="宋体" w:eastAsia="宋体" w:cs="宋体"/>
          <w:sz w:val="21"/>
          <w:szCs w:val="21"/>
        </w:rPr>
      </w:pPr>
      <w:r>
        <w:rPr>
          <w:rFonts w:ascii="宋体" w:hAnsi="宋体" w:eastAsia="宋体" w:cs="宋体"/>
          <w:b/>
          <w:bCs/>
          <w:sz w:val="21"/>
          <w:szCs w:val="21"/>
        </w:rPr>
        <w:t>1</w:t>
      </w:r>
      <w:r>
        <w:rPr>
          <w:rFonts w:ascii="宋体" w:hAnsi="宋体" w:eastAsia="宋体" w:cs="宋体"/>
          <w:sz w:val="21"/>
          <w:szCs w:val="21"/>
        </w:rPr>
        <w:t>A、B、C、E类火灾的灭火浓度及最小设计灭火浓度应符</w:t>
      </w:r>
      <w:r>
        <w:rPr>
          <w:rFonts w:ascii="宋体" w:hAnsi="宋体" w:eastAsia="宋体" w:cs="宋体"/>
          <w:spacing w:val="8"/>
          <w:sz w:val="21"/>
          <w:szCs w:val="21"/>
        </w:rPr>
        <w:t>合表8.1.15-1的规定。</w:t>
      </w:r>
    </w:p>
    <w:p>
      <w:pPr>
        <w:spacing w:before="58" w:line="221" w:lineRule="auto"/>
        <w:ind w:left="652"/>
        <w:rPr>
          <w:rFonts w:ascii="黑体" w:hAnsi="黑体" w:eastAsia="黑体" w:cs="黑体"/>
          <w:sz w:val="21"/>
          <w:szCs w:val="21"/>
        </w:rPr>
      </w:pPr>
      <w:r>
        <w:rPr>
          <w:rFonts w:ascii="黑体" w:hAnsi="黑体" w:eastAsia="黑体" w:cs="黑体"/>
          <w:b/>
          <w:bCs/>
          <w:spacing w:val="-23"/>
          <w:sz w:val="21"/>
          <w:szCs w:val="21"/>
        </w:rPr>
        <w:t>表8.1.15-1各类火灾的灭火浓度及其最小设计灭火浓度</w:t>
      </w:r>
    </w:p>
    <w:p>
      <w:pPr>
        <w:spacing w:line="80" w:lineRule="exact"/>
      </w:pPr>
    </w:p>
    <w:tbl>
      <w:tblPr>
        <w:tblStyle w:val="5"/>
        <w:tblW w:w="586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22"/>
        <w:gridCol w:w="1917"/>
        <w:gridCol w:w="2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922" w:type="dxa"/>
            <w:vAlign w:val="top"/>
          </w:tcPr>
          <w:p>
            <w:pPr>
              <w:pStyle w:val="6"/>
              <w:spacing w:before="82" w:line="221" w:lineRule="auto"/>
              <w:ind w:left="525"/>
            </w:pPr>
            <w:r>
              <w:rPr>
                <w:spacing w:val="-2"/>
              </w:rPr>
              <w:t>可燃物名称</w:t>
            </w:r>
          </w:p>
        </w:tc>
        <w:tc>
          <w:tcPr>
            <w:tcW w:w="1917" w:type="dxa"/>
            <w:vAlign w:val="top"/>
          </w:tcPr>
          <w:p>
            <w:pPr>
              <w:pStyle w:val="6"/>
              <w:spacing w:before="82" w:line="219" w:lineRule="auto"/>
              <w:ind w:left="482"/>
            </w:pPr>
            <w:r>
              <w:rPr>
                <w:spacing w:val="4"/>
              </w:rPr>
              <w:t>灭火浓度(%)</w:t>
            </w:r>
          </w:p>
        </w:tc>
        <w:tc>
          <w:tcPr>
            <w:tcW w:w="2021" w:type="dxa"/>
            <w:vAlign w:val="top"/>
          </w:tcPr>
          <w:p>
            <w:pPr>
              <w:pStyle w:val="6"/>
              <w:spacing w:before="82" w:line="219" w:lineRule="auto"/>
              <w:ind w:left="195"/>
            </w:pPr>
            <w:r>
              <w:rPr>
                <w:spacing w:val="2"/>
              </w:rPr>
              <w:t>最小设计灭火浓度(%)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922" w:type="dxa"/>
            <w:vAlign w:val="top"/>
          </w:tcPr>
          <w:p>
            <w:pPr>
              <w:pStyle w:val="6"/>
              <w:spacing w:before="79" w:line="219" w:lineRule="auto"/>
              <w:ind w:left="654"/>
            </w:pPr>
            <w:r>
              <w:rPr>
                <w:spacing w:val="-1"/>
              </w:rPr>
              <w:t>A类火灾</w:t>
            </w:r>
          </w:p>
        </w:tc>
        <w:tc>
          <w:tcPr>
            <w:tcW w:w="1917" w:type="dxa"/>
            <w:vAlign w:val="top"/>
          </w:tcPr>
          <w:p>
            <w:pPr>
              <w:pStyle w:val="6"/>
              <w:spacing w:before="95" w:line="239" w:lineRule="auto"/>
              <w:ind w:left="782"/>
            </w:pPr>
            <w:r>
              <w:rPr>
                <w:spacing w:val="-2"/>
              </w:rPr>
              <w:t>31.0</w:t>
            </w:r>
          </w:p>
        </w:tc>
        <w:tc>
          <w:tcPr>
            <w:tcW w:w="2021" w:type="dxa"/>
            <w:vAlign w:val="top"/>
          </w:tcPr>
          <w:p>
            <w:pPr>
              <w:pStyle w:val="6"/>
              <w:spacing w:before="95" w:line="239" w:lineRule="auto"/>
              <w:ind w:left="835"/>
            </w:pPr>
            <w:r>
              <w:rPr>
                <w:spacing w:val="-2"/>
              </w:rPr>
              <w:t>40.3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922" w:type="dxa"/>
            <w:vAlign w:val="top"/>
          </w:tcPr>
          <w:p>
            <w:pPr>
              <w:pStyle w:val="6"/>
              <w:spacing w:before="91" w:line="219" w:lineRule="auto"/>
              <w:ind w:left="654"/>
            </w:pPr>
            <w:r>
              <w:rPr>
                <w:spacing w:val="-1"/>
              </w:rPr>
              <w:t>B类火灾</w:t>
            </w:r>
          </w:p>
        </w:tc>
        <w:tc>
          <w:tcPr>
            <w:tcW w:w="1917" w:type="dxa"/>
            <w:vAlign w:val="top"/>
          </w:tcPr>
          <w:p>
            <w:pPr>
              <w:pStyle w:val="6"/>
              <w:spacing w:before="107" w:line="239" w:lineRule="auto"/>
              <w:ind w:left="782"/>
            </w:pPr>
            <w:r>
              <w:rPr>
                <w:spacing w:val="-2"/>
              </w:rPr>
              <w:t>33.6</w:t>
            </w:r>
          </w:p>
        </w:tc>
        <w:tc>
          <w:tcPr>
            <w:tcW w:w="2021" w:type="dxa"/>
            <w:vAlign w:val="top"/>
          </w:tcPr>
          <w:p>
            <w:pPr>
              <w:pStyle w:val="6"/>
              <w:spacing w:before="107" w:line="239" w:lineRule="auto"/>
              <w:ind w:left="835"/>
            </w:pPr>
            <w:r>
              <w:rPr>
                <w:spacing w:val="-2"/>
              </w:rPr>
              <w:t>43.7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922" w:type="dxa"/>
            <w:vAlign w:val="top"/>
          </w:tcPr>
          <w:p>
            <w:pPr>
              <w:pStyle w:val="6"/>
              <w:spacing w:before="83" w:line="219" w:lineRule="auto"/>
              <w:ind w:left="654"/>
            </w:pPr>
            <w:r>
              <w:rPr>
                <w:spacing w:val="-1"/>
              </w:rPr>
              <w:t>C类火灾</w:t>
            </w:r>
          </w:p>
        </w:tc>
        <w:tc>
          <w:tcPr>
            <w:tcW w:w="1917" w:type="dxa"/>
            <w:vAlign w:val="top"/>
          </w:tcPr>
          <w:p>
            <w:pPr>
              <w:pStyle w:val="6"/>
              <w:spacing w:before="99" w:line="237" w:lineRule="auto"/>
              <w:ind w:left="782"/>
            </w:pPr>
            <w:r>
              <w:rPr>
                <w:spacing w:val="-2"/>
              </w:rPr>
              <w:t>33.6</w:t>
            </w:r>
          </w:p>
        </w:tc>
        <w:tc>
          <w:tcPr>
            <w:tcW w:w="2021" w:type="dxa"/>
            <w:vAlign w:val="top"/>
          </w:tcPr>
          <w:p>
            <w:pPr>
              <w:pStyle w:val="6"/>
              <w:spacing w:before="99" w:line="237" w:lineRule="auto"/>
              <w:ind w:left="835"/>
            </w:pPr>
            <w:r>
              <w:rPr>
                <w:spacing w:val="-2"/>
              </w:rPr>
              <w:t>43.7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1922" w:type="dxa"/>
            <w:vAlign w:val="top"/>
          </w:tcPr>
          <w:p>
            <w:pPr>
              <w:pStyle w:val="6"/>
              <w:spacing w:before="95" w:line="219" w:lineRule="auto"/>
              <w:ind w:left="654"/>
            </w:pPr>
            <w:r>
              <w:rPr>
                <w:spacing w:val="-1"/>
              </w:rPr>
              <w:t>E类火灾</w:t>
            </w:r>
          </w:p>
        </w:tc>
        <w:tc>
          <w:tcPr>
            <w:tcW w:w="1917" w:type="dxa"/>
            <w:vAlign w:val="top"/>
          </w:tcPr>
          <w:p>
            <w:pPr>
              <w:pStyle w:val="6"/>
              <w:spacing w:before="111" w:line="239" w:lineRule="auto"/>
              <w:ind w:left="782"/>
            </w:pPr>
            <w:r>
              <w:rPr>
                <w:spacing w:val="-2"/>
              </w:rPr>
              <w:t>31.0</w:t>
            </w:r>
          </w:p>
        </w:tc>
        <w:tc>
          <w:tcPr>
            <w:tcW w:w="2021" w:type="dxa"/>
            <w:vAlign w:val="top"/>
          </w:tcPr>
          <w:p>
            <w:pPr>
              <w:pStyle w:val="6"/>
              <w:spacing w:before="111" w:line="239" w:lineRule="auto"/>
              <w:ind w:left="835"/>
            </w:pPr>
            <w:r>
              <w:rPr>
                <w:spacing w:val="-2"/>
              </w:rPr>
              <w:t>40.3</w:t>
            </w:r>
          </w:p>
        </w:tc>
      </w:tr>
    </w:tbl>
    <w:p>
      <w:pPr>
        <w:spacing w:before="209" w:line="252" w:lineRule="auto"/>
        <w:ind w:right="35" w:firstLine="400"/>
        <w:rPr>
          <w:rFonts w:ascii="宋体" w:hAnsi="宋体" w:eastAsia="宋体" w:cs="宋体"/>
          <w:sz w:val="21"/>
          <w:szCs w:val="21"/>
        </w:rPr>
      </w:pPr>
      <w:r>
        <w:rPr>
          <w:rFonts w:ascii="宋体" w:hAnsi="宋体" w:eastAsia="宋体" w:cs="宋体"/>
          <w:spacing w:val="11"/>
          <w:sz w:val="21"/>
          <w:szCs w:val="21"/>
        </w:rPr>
        <w:t>2经常有人工作的防护区的最大设计灭火浓度为52%,并</w:t>
      </w:r>
      <w:r>
        <w:rPr>
          <w:rFonts w:ascii="宋体" w:hAnsi="宋体" w:eastAsia="宋体" w:cs="宋体"/>
          <w:spacing w:val="-1"/>
          <w:sz w:val="21"/>
          <w:szCs w:val="21"/>
        </w:rPr>
        <w:t>应在防护区预期最高环境温度条件下进行复核。</w:t>
      </w:r>
    </w:p>
    <w:p>
      <w:pPr>
        <w:spacing w:before="60" w:line="255" w:lineRule="auto"/>
        <w:ind w:right="36" w:firstLine="400"/>
        <w:rPr>
          <w:rFonts w:ascii="宋体" w:hAnsi="宋体" w:eastAsia="宋体" w:cs="宋体"/>
          <w:sz w:val="21"/>
          <w:szCs w:val="21"/>
        </w:rPr>
      </w:pPr>
      <w:r>
        <w:rPr>
          <w:rFonts w:ascii="宋体" w:hAnsi="宋体" w:eastAsia="宋体" w:cs="宋体"/>
          <w:spacing w:val="4"/>
          <w:sz w:val="21"/>
          <w:szCs w:val="21"/>
        </w:rPr>
        <w:t>3存在多种可燃物时，灭火剂设计浓度应根</w:t>
      </w:r>
      <w:r>
        <w:rPr>
          <w:rFonts w:ascii="宋体" w:hAnsi="宋体" w:eastAsia="宋体" w:cs="宋体"/>
          <w:spacing w:val="3"/>
          <w:sz w:val="21"/>
          <w:szCs w:val="21"/>
        </w:rPr>
        <w:t>据火灾危险性</w:t>
      </w:r>
      <w:r>
        <w:rPr>
          <w:rFonts w:ascii="宋体" w:hAnsi="宋体" w:eastAsia="宋体" w:cs="宋体"/>
          <w:spacing w:val="-1"/>
          <w:sz w:val="21"/>
          <w:szCs w:val="21"/>
        </w:rPr>
        <w:t>较大的可燃物的设计浓度来确定。</w:t>
      </w:r>
    </w:p>
    <w:p>
      <w:pPr>
        <w:spacing w:before="60" w:line="255" w:lineRule="auto"/>
        <w:ind w:right="28" w:firstLine="400"/>
        <w:rPr>
          <w:rFonts w:ascii="宋体" w:hAnsi="宋体" w:eastAsia="宋体" w:cs="宋体"/>
          <w:sz w:val="21"/>
          <w:szCs w:val="21"/>
        </w:rPr>
      </w:pPr>
      <w:r>
        <w:rPr>
          <w:rFonts w:ascii="宋体" w:hAnsi="宋体" w:eastAsia="宋体" w:cs="宋体"/>
          <w:spacing w:val="4"/>
          <w:sz w:val="21"/>
          <w:szCs w:val="21"/>
        </w:rPr>
        <w:t>4对有爆炸危险的防护区应采用惰化浓度，部分可燃物的</w:t>
      </w:r>
      <w:r>
        <w:rPr>
          <w:rFonts w:ascii="宋体" w:hAnsi="宋体" w:eastAsia="宋体" w:cs="宋体"/>
          <w:spacing w:val="5"/>
          <w:sz w:val="21"/>
          <w:szCs w:val="21"/>
        </w:rPr>
        <w:t>最小设计惰化浓度可按表8.1.15-2确定。</w:t>
      </w:r>
    </w:p>
    <w:p>
      <w:pPr>
        <w:spacing w:line="255" w:lineRule="auto"/>
        <w:rPr>
          <w:rFonts w:ascii="宋体" w:hAnsi="宋体" w:eastAsia="宋体" w:cs="宋体"/>
          <w:sz w:val="21"/>
          <w:szCs w:val="21"/>
        </w:rPr>
        <w:sectPr>
          <w:footerReference r:id="rId59" w:type="default"/>
          <w:pgSz w:w="8280" w:h="11850"/>
          <w:pgMar w:top="400" w:right="1195" w:bottom="1340" w:left="1190" w:header="0" w:footer="1067" w:gutter="0"/>
          <w:cols w:space="720" w:num="1"/>
        </w:sectPr>
      </w:pPr>
    </w:p>
    <w:p>
      <w:pPr>
        <w:pStyle w:val="2"/>
        <w:spacing w:line="257" w:lineRule="auto"/>
      </w:pPr>
    </w:p>
    <w:p>
      <w:pPr>
        <w:pStyle w:val="2"/>
        <w:spacing w:line="258" w:lineRule="auto"/>
      </w:pPr>
    </w:p>
    <w:p>
      <w:pPr>
        <w:pStyle w:val="2"/>
        <w:spacing w:line="258" w:lineRule="auto"/>
      </w:pPr>
    </w:p>
    <w:p>
      <w:pPr>
        <w:spacing w:before="68" w:line="220" w:lineRule="auto"/>
        <w:ind w:left="549"/>
        <w:rPr>
          <w:rFonts w:ascii="黑体" w:hAnsi="黑体" w:eastAsia="黑体" w:cs="黑体"/>
          <w:sz w:val="21"/>
          <w:szCs w:val="21"/>
        </w:rPr>
      </w:pPr>
      <w:bookmarkStart w:id="45" w:name="bookmark91"/>
      <w:bookmarkEnd w:id="45"/>
      <w:r>
        <w:rPr>
          <w:rFonts w:ascii="黑体" w:hAnsi="黑体" w:eastAsia="黑体" w:cs="黑体"/>
          <w:spacing w:val="-17"/>
          <w:w w:val="97"/>
          <w:sz w:val="21"/>
          <w:szCs w:val="21"/>
        </w:rPr>
        <w:t>表8.1.15-2部分可燃物的惰化浓度及其最小设计惰化浓度</w:t>
      </w:r>
    </w:p>
    <w:p>
      <w:pPr>
        <w:spacing w:line="78" w:lineRule="exact"/>
      </w:pPr>
    </w:p>
    <w:tbl>
      <w:tblPr>
        <w:tblStyle w:val="5"/>
        <w:tblW w:w="584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22"/>
        <w:gridCol w:w="1907"/>
        <w:gridCol w:w="20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922" w:type="dxa"/>
            <w:vAlign w:val="top"/>
          </w:tcPr>
          <w:p>
            <w:pPr>
              <w:pStyle w:val="6"/>
              <w:spacing w:before="82" w:line="221" w:lineRule="auto"/>
              <w:ind w:left="525"/>
            </w:pPr>
            <w:r>
              <w:rPr>
                <w:spacing w:val="-2"/>
              </w:rPr>
              <w:t>可燃物名称</w:t>
            </w:r>
          </w:p>
        </w:tc>
        <w:tc>
          <w:tcPr>
            <w:tcW w:w="1907" w:type="dxa"/>
            <w:vAlign w:val="top"/>
          </w:tcPr>
          <w:p>
            <w:pPr>
              <w:pStyle w:val="6"/>
              <w:spacing w:before="82" w:line="219" w:lineRule="auto"/>
              <w:ind w:left="473"/>
            </w:pPr>
            <w:r>
              <w:rPr>
                <w:spacing w:val="6"/>
              </w:rPr>
              <w:t>惰化浓度(%)</w:t>
            </w:r>
          </w:p>
        </w:tc>
        <w:tc>
          <w:tcPr>
            <w:tcW w:w="2011" w:type="dxa"/>
            <w:vAlign w:val="top"/>
          </w:tcPr>
          <w:p>
            <w:pPr>
              <w:pStyle w:val="6"/>
              <w:spacing w:before="82" w:line="219" w:lineRule="auto"/>
              <w:ind w:left="186"/>
            </w:pPr>
            <w:r>
              <w:rPr>
                <w:spacing w:val="3"/>
              </w:rPr>
              <w:t>最小设计惰化浓度(%)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922" w:type="dxa"/>
            <w:vAlign w:val="top"/>
          </w:tcPr>
          <w:p>
            <w:pPr>
              <w:pStyle w:val="6"/>
              <w:spacing w:before="71" w:line="220" w:lineRule="auto"/>
              <w:ind w:left="784"/>
            </w:pPr>
            <w:r>
              <w:rPr>
                <w:spacing w:val="3"/>
              </w:rPr>
              <w:t>甲烷</w:t>
            </w:r>
          </w:p>
        </w:tc>
        <w:tc>
          <w:tcPr>
            <w:tcW w:w="1907" w:type="dxa"/>
            <w:vAlign w:val="top"/>
          </w:tcPr>
          <w:p>
            <w:pPr>
              <w:pStyle w:val="6"/>
              <w:spacing w:before="87" w:line="227" w:lineRule="auto"/>
              <w:ind w:left="773"/>
            </w:pPr>
            <w:r>
              <w:rPr>
                <w:spacing w:val="-2"/>
              </w:rPr>
              <w:t>43.0</w:t>
            </w:r>
          </w:p>
        </w:tc>
        <w:tc>
          <w:tcPr>
            <w:tcW w:w="2011" w:type="dxa"/>
            <w:vAlign w:val="top"/>
          </w:tcPr>
          <w:p>
            <w:pPr>
              <w:pStyle w:val="6"/>
              <w:spacing w:before="87" w:line="227" w:lineRule="auto"/>
              <w:ind w:left="825"/>
            </w:pPr>
            <w:r>
              <w:rPr>
                <w:spacing w:val="-2"/>
              </w:rPr>
              <w:t>47.3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922" w:type="dxa"/>
            <w:vAlign w:val="top"/>
          </w:tcPr>
          <w:p>
            <w:pPr>
              <w:pStyle w:val="6"/>
              <w:spacing w:before="74" w:line="220" w:lineRule="auto"/>
              <w:ind w:left="784"/>
            </w:pPr>
            <w:r>
              <w:rPr>
                <w:spacing w:val="-3"/>
              </w:rPr>
              <w:t>丙烷</w:t>
            </w:r>
          </w:p>
        </w:tc>
        <w:tc>
          <w:tcPr>
            <w:tcW w:w="1907" w:type="dxa"/>
            <w:vAlign w:val="top"/>
          </w:tcPr>
          <w:p>
            <w:pPr>
              <w:pStyle w:val="6"/>
              <w:spacing w:before="91" w:line="218" w:lineRule="auto"/>
              <w:ind w:left="773"/>
            </w:pPr>
            <w:r>
              <w:rPr>
                <w:spacing w:val="-2"/>
              </w:rPr>
              <w:t>49.0</w:t>
            </w:r>
          </w:p>
        </w:tc>
        <w:tc>
          <w:tcPr>
            <w:tcW w:w="2011" w:type="dxa"/>
            <w:vAlign w:val="top"/>
          </w:tcPr>
          <w:p>
            <w:pPr>
              <w:pStyle w:val="6"/>
              <w:spacing w:before="91" w:line="218" w:lineRule="auto"/>
              <w:ind w:left="825"/>
            </w:pPr>
            <w:r>
              <w:rPr>
                <w:spacing w:val="-2"/>
              </w:rPr>
              <w:t>53.9</w:t>
            </w:r>
          </w:p>
        </w:tc>
      </w:tr>
    </w:tbl>
    <w:p>
      <w:pPr>
        <w:spacing w:before="212" w:line="219" w:lineRule="auto"/>
        <w:rPr>
          <w:rFonts w:ascii="宋体" w:hAnsi="宋体" w:eastAsia="宋体" w:cs="宋体"/>
          <w:sz w:val="21"/>
          <w:szCs w:val="21"/>
        </w:rPr>
      </w:pPr>
      <w:r>
        <w:rPr>
          <w:rFonts w:ascii="宋体" w:hAnsi="宋体" w:eastAsia="宋体" w:cs="宋体"/>
          <w:spacing w:val="-1"/>
          <w:sz w:val="21"/>
          <w:szCs w:val="21"/>
        </w:rPr>
        <w:t>8.1.16灭火剂总量应按下式计算：</w:t>
      </w:r>
    </w:p>
    <w:p>
      <w:pPr>
        <w:spacing w:before="164" w:line="217" w:lineRule="auto"/>
        <w:ind w:left="1959"/>
        <w:rPr>
          <w:rFonts w:ascii="宋体" w:hAnsi="宋体" w:eastAsia="宋体" w:cs="宋体"/>
          <w:sz w:val="21"/>
          <w:szCs w:val="21"/>
        </w:rPr>
      </w:pPr>
      <w:r>
        <w:rPr>
          <w:rFonts w:ascii="Times New Roman" w:hAnsi="Times New Roman" w:eastAsia="Times New Roman" w:cs="Times New Roman"/>
          <w:spacing w:val="-1"/>
          <w:position w:val="-2"/>
          <w:sz w:val="21"/>
          <w:szCs w:val="21"/>
        </w:rPr>
        <w:t>M=MA+MB+Mc</w:t>
      </w:r>
      <w:r>
        <w:rPr>
          <w:rFonts w:ascii="宋体" w:hAnsi="宋体" w:eastAsia="宋体" w:cs="宋体"/>
          <w:spacing w:val="-1"/>
          <w:position w:val="1"/>
          <w:sz w:val="21"/>
          <w:szCs w:val="21"/>
        </w:rPr>
        <w:t>(8.1.16</w:t>
      </w:r>
      <w:r>
        <w:rPr>
          <w:rFonts w:ascii="宋体" w:hAnsi="宋体" w:eastAsia="宋体" w:cs="宋体"/>
          <w:spacing w:val="-2"/>
          <w:position w:val="1"/>
          <w:sz w:val="21"/>
          <w:szCs w:val="21"/>
        </w:rPr>
        <w:t>-1)</w:t>
      </w:r>
    </w:p>
    <w:p>
      <w:pPr>
        <w:spacing w:before="162" w:line="212" w:lineRule="auto"/>
        <w:ind w:left="9"/>
        <w:rPr>
          <w:rFonts w:ascii="Times New Roman" w:hAnsi="Times New Roman" w:eastAsia="Times New Roman" w:cs="Times New Roman"/>
          <w:sz w:val="21"/>
          <w:szCs w:val="21"/>
        </w:rPr>
      </w:pPr>
      <w:r>
        <w:rPr>
          <w:rFonts w:ascii="宋体" w:hAnsi="宋体" w:eastAsia="宋体" w:cs="宋体"/>
          <w:spacing w:val="-7"/>
          <w:sz w:val="21"/>
          <w:szCs w:val="21"/>
        </w:rPr>
        <w:t>式中：</w:t>
      </w:r>
      <w:r>
        <w:rPr>
          <w:rFonts w:ascii="Times New Roman" w:hAnsi="Times New Roman" w:eastAsia="Times New Roman" w:cs="Times New Roman"/>
          <w:spacing w:val="-7"/>
          <w:sz w:val="21"/>
          <w:szCs w:val="21"/>
        </w:rPr>
        <w:t>M——</w:t>
      </w:r>
      <w:r>
        <w:rPr>
          <w:rFonts w:ascii="宋体" w:hAnsi="宋体" w:eastAsia="宋体" w:cs="宋体"/>
          <w:spacing w:val="-7"/>
          <w:sz w:val="21"/>
          <w:szCs w:val="21"/>
        </w:rPr>
        <w:t>灭火剂设计总量</w:t>
      </w:r>
      <w:r>
        <w:rPr>
          <w:rFonts w:ascii="Times New Roman" w:hAnsi="Times New Roman" w:eastAsia="Times New Roman" w:cs="Times New Roman"/>
          <w:spacing w:val="-7"/>
          <w:sz w:val="21"/>
          <w:szCs w:val="21"/>
        </w:rPr>
        <w:t>(kg);</w:t>
      </w:r>
    </w:p>
    <w:p>
      <w:pPr>
        <w:spacing w:before="78" w:line="212" w:lineRule="auto"/>
        <w:ind w:left="439"/>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MA——</w:t>
      </w:r>
      <w:r>
        <w:rPr>
          <w:rFonts w:ascii="宋体" w:hAnsi="宋体" w:eastAsia="宋体" w:cs="宋体"/>
          <w:spacing w:val="-2"/>
          <w:sz w:val="21"/>
          <w:szCs w:val="21"/>
        </w:rPr>
        <w:t>灭火剂设计基本用量</w:t>
      </w:r>
      <w:r>
        <w:rPr>
          <w:rFonts w:ascii="Times New Roman" w:hAnsi="Times New Roman" w:eastAsia="Times New Roman" w:cs="Times New Roman"/>
          <w:spacing w:val="-2"/>
          <w:sz w:val="21"/>
          <w:szCs w:val="21"/>
        </w:rPr>
        <w:t>(kg);</w:t>
      </w:r>
    </w:p>
    <w:p>
      <w:pPr>
        <w:spacing w:before="86" w:line="214" w:lineRule="auto"/>
        <w:ind w:left="439"/>
        <w:rPr>
          <w:rFonts w:ascii="宋体" w:hAnsi="宋体" w:eastAsia="宋体" w:cs="宋体"/>
          <w:sz w:val="21"/>
          <w:szCs w:val="21"/>
        </w:rPr>
      </w:pPr>
      <w:r>
        <w:rPr>
          <w:rFonts w:ascii="宋体" w:hAnsi="宋体" w:eastAsia="宋体" w:cs="宋体"/>
          <w:spacing w:val="-2"/>
          <w:sz w:val="21"/>
          <w:szCs w:val="21"/>
        </w:rPr>
        <w:t>MB——喷放后配管内灭火剂剩余量(kg);</w:t>
      </w:r>
    </w:p>
    <w:p>
      <w:pPr>
        <w:spacing w:before="60" w:line="212" w:lineRule="auto"/>
        <w:ind w:left="439"/>
        <w:rPr>
          <w:rFonts w:ascii="宋体" w:hAnsi="宋体" w:eastAsia="宋体" w:cs="宋体"/>
          <w:sz w:val="21"/>
          <w:szCs w:val="21"/>
        </w:rPr>
      </w:pPr>
      <w:r>
        <w:rPr>
          <w:rFonts w:ascii="Times New Roman" w:hAnsi="Times New Roman" w:eastAsia="Times New Roman" w:cs="Times New Roman"/>
          <w:sz w:val="21"/>
          <w:szCs w:val="21"/>
        </w:rPr>
        <w:t>Mc——</w:t>
      </w:r>
      <w:r>
        <w:rPr>
          <w:rFonts w:ascii="宋体" w:hAnsi="宋体" w:eastAsia="宋体" w:cs="宋体"/>
          <w:sz w:val="21"/>
          <w:szCs w:val="21"/>
        </w:rPr>
        <w:t>喷放后钢瓶内灭火剂剩余量</w:t>
      </w:r>
      <w:r>
        <w:rPr>
          <w:rFonts w:ascii="Times New Roman" w:hAnsi="Times New Roman" w:eastAsia="Times New Roman" w:cs="Times New Roman"/>
          <w:sz w:val="21"/>
          <w:szCs w:val="21"/>
        </w:rPr>
        <w:t>(kg</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pPr>
        <w:spacing w:before="80" w:line="291" w:lineRule="auto"/>
        <w:ind w:left="9" w:firstLine="439"/>
        <w:rPr>
          <w:rFonts w:ascii="宋体" w:hAnsi="宋体" w:eastAsia="宋体" w:cs="宋体"/>
          <w:sz w:val="21"/>
          <w:szCs w:val="21"/>
        </w:rPr>
      </w:pPr>
      <w:r>
        <w:drawing>
          <wp:anchor distT="0" distB="0" distL="0" distR="0" simplePos="0" relativeHeight="251664384" behindDoc="0" locked="0" layoutInCell="1" allowOverlap="1">
            <wp:simplePos x="0" y="0"/>
            <wp:positionH relativeFrom="column">
              <wp:posOffset>989965</wp:posOffset>
            </wp:positionH>
            <wp:positionV relativeFrom="paragraph">
              <wp:posOffset>727075</wp:posOffset>
            </wp:positionV>
            <wp:extent cx="1765300" cy="35560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22"/>
                    <a:stretch>
                      <a:fillRect/>
                    </a:stretch>
                  </pic:blipFill>
                  <pic:spPr>
                    <a:xfrm>
                      <a:off x="0" y="0"/>
                      <a:ext cx="1765306" cy="355619"/>
                    </a:xfrm>
                    <a:prstGeom prst="rect">
                      <a:avLst/>
                    </a:prstGeom>
                  </pic:spPr>
                </pic:pic>
              </a:graphicData>
            </a:graphic>
          </wp:anchor>
        </w:drawing>
      </w:r>
      <w:r>
        <w:rPr>
          <w:rFonts w:ascii="宋体" w:hAnsi="宋体" w:eastAsia="宋体" w:cs="宋体"/>
          <w:spacing w:val="5"/>
          <w:sz w:val="21"/>
          <w:szCs w:val="21"/>
        </w:rPr>
        <w:t>喷放后配管内灭火剂剩余量</w:t>
      </w:r>
      <w:r>
        <w:rPr>
          <w:rFonts w:ascii="Times New Roman" w:hAnsi="Times New Roman" w:eastAsia="Times New Roman" w:cs="Times New Roman"/>
          <w:spacing w:val="5"/>
          <w:sz w:val="21"/>
          <w:szCs w:val="21"/>
        </w:rPr>
        <w:t>(</w:t>
      </w:r>
      <w:r>
        <w:rPr>
          <w:rFonts w:ascii="Times New Roman" w:hAnsi="Times New Roman" w:eastAsia="Times New Roman" w:cs="Times New Roman"/>
          <w:sz w:val="21"/>
          <w:szCs w:val="21"/>
        </w:rPr>
        <w:t>MB</w:t>
      </w:r>
      <w:r>
        <w:rPr>
          <w:rFonts w:ascii="Times New Roman" w:hAnsi="Times New Roman" w:eastAsia="Times New Roman" w:cs="Times New Roman"/>
          <w:spacing w:val="5"/>
          <w:sz w:val="21"/>
          <w:szCs w:val="21"/>
        </w:rPr>
        <w:t>)</w:t>
      </w:r>
      <w:r>
        <w:rPr>
          <w:rFonts w:ascii="宋体" w:hAnsi="宋体" w:eastAsia="宋体" w:cs="宋体"/>
          <w:spacing w:val="5"/>
          <w:sz w:val="21"/>
          <w:szCs w:val="21"/>
        </w:rPr>
        <w:t>为钢瓶组到被保</w:t>
      </w:r>
      <w:r>
        <w:rPr>
          <w:rFonts w:ascii="宋体" w:hAnsi="宋体" w:eastAsia="宋体" w:cs="宋体"/>
          <w:spacing w:val="4"/>
          <w:sz w:val="21"/>
          <w:szCs w:val="21"/>
        </w:rPr>
        <w:t>护区的喷</w:t>
      </w:r>
      <w:r>
        <w:rPr>
          <w:rFonts w:ascii="宋体" w:hAnsi="宋体" w:eastAsia="宋体" w:cs="宋体"/>
          <w:sz w:val="21"/>
          <w:szCs w:val="21"/>
        </w:rPr>
        <w:t>头之间的所有灭火剂充满的配管内剩余量之和，应按下式经计算</w:t>
      </w:r>
      <w:r>
        <w:rPr>
          <w:rFonts w:ascii="宋体" w:hAnsi="宋体" w:eastAsia="宋体" w:cs="宋体"/>
          <w:spacing w:val="-4"/>
          <w:sz w:val="21"/>
          <w:szCs w:val="21"/>
        </w:rPr>
        <w:t>确定：</w:t>
      </w:r>
    </w:p>
    <w:p>
      <w:pPr>
        <w:spacing w:before="213" w:line="222" w:lineRule="auto"/>
        <w:ind w:left="4819"/>
        <w:rPr>
          <w:rFonts w:ascii="宋体" w:hAnsi="宋体" w:eastAsia="宋体" w:cs="宋体"/>
          <w:sz w:val="21"/>
          <w:szCs w:val="21"/>
        </w:rPr>
      </w:pPr>
      <w:r>
        <w:rPr>
          <w:rFonts w:ascii="宋体" w:hAnsi="宋体" w:eastAsia="宋体" w:cs="宋体"/>
          <w:spacing w:val="-5"/>
          <w:sz w:val="21"/>
          <w:szCs w:val="21"/>
        </w:rPr>
        <w:t>(8.1.16-2)</w:t>
      </w:r>
    </w:p>
    <w:p>
      <w:pPr>
        <w:pStyle w:val="2"/>
        <w:spacing w:line="271" w:lineRule="auto"/>
      </w:pPr>
    </w:p>
    <w:p>
      <w:pPr>
        <w:spacing w:before="69" w:line="216" w:lineRule="auto"/>
        <w:ind w:left="29"/>
        <w:rPr>
          <w:rFonts w:ascii="宋体" w:hAnsi="宋体" w:eastAsia="宋体" w:cs="宋体"/>
          <w:sz w:val="21"/>
          <w:szCs w:val="21"/>
        </w:rPr>
      </w:pPr>
      <w:r>
        <w:rPr>
          <w:rFonts w:ascii="宋体" w:hAnsi="宋体" w:eastAsia="宋体" w:cs="宋体"/>
          <w:spacing w:val="-6"/>
          <w:sz w:val="21"/>
          <w:szCs w:val="21"/>
        </w:rPr>
        <w:t>式中：D</w:t>
      </w:r>
      <w:r>
        <w:rPr>
          <w:rFonts w:ascii="Microsoft Sans Serif" w:hAnsi="Microsoft Sans Serif" w:eastAsia="Microsoft Sans Serif" w:cs="Microsoft Sans Serif"/>
          <w:spacing w:val="-6"/>
          <w:sz w:val="21"/>
          <w:szCs w:val="21"/>
        </w:rPr>
        <w:t>ₙ</w:t>
      </w:r>
      <w:r>
        <w:rPr>
          <w:rFonts w:ascii="宋体" w:hAnsi="宋体" w:eastAsia="宋体" w:cs="宋体"/>
          <w:spacing w:val="-6"/>
          <w:sz w:val="21"/>
          <w:szCs w:val="21"/>
        </w:rPr>
        <w:t>——配管的内径(m)(n=1,2,3,…);</w:t>
      </w:r>
    </w:p>
    <w:p>
      <w:pPr>
        <w:spacing w:before="53" w:line="212" w:lineRule="auto"/>
        <w:ind w:left="549"/>
        <w:rPr>
          <w:rFonts w:ascii="Times New Roman" w:hAnsi="Times New Roman" w:eastAsia="Times New Roman" w:cs="Times New Roman"/>
          <w:sz w:val="21"/>
          <w:szCs w:val="21"/>
        </w:rPr>
      </w:pPr>
      <w:r>
        <w:rPr>
          <w:rFonts w:ascii="Times New Roman" w:hAnsi="Times New Roman" w:eastAsia="Times New Roman" w:cs="Times New Roman"/>
          <w:sz w:val="21"/>
          <w:szCs w:val="21"/>
        </w:rPr>
        <w:t>Ln——</w:t>
      </w:r>
      <w:r>
        <w:rPr>
          <w:rFonts w:ascii="宋体" w:hAnsi="宋体" w:eastAsia="宋体" w:cs="宋体"/>
          <w:sz w:val="21"/>
          <w:szCs w:val="21"/>
        </w:rPr>
        <w:t>配管的长度</w:t>
      </w:r>
      <w:r>
        <w:rPr>
          <w:rFonts w:ascii="Times New Roman" w:hAnsi="Times New Roman" w:eastAsia="Times New Roman" w:cs="Times New Roman"/>
          <w:sz w:val="21"/>
          <w:szCs w:val="21"/>
        </w:rPr>
        <w:t>(m)(n=1,2,3,…);</w:t>
      </w:r>
    </w:p>
    <w:p>
      <w:pPr>
        <w:spacing w:before="115" w:line="214" w:lineRule="auto"/>
        <w:ind w:left="499"/>
        <w:rPr>
          <w:rFonts w:ascii="宋体" w:hAnsi="宋体" w:eastAsia="宋体" w:cs="宋体"/>
          <w:sz w:val="21"/>
          <w:szCs w:val="21"/>
        </w:rPr>
      </w:pPr>
      <w:r>
        <w:rPr>
          <w:rFonts w:ascii="宋体" w:hAnsi="宋体" w:eastAsia="宋体" w:cs="宋体"/>
          <w:spacing w:val="1"/>
          <w:sz w:val="21"/>
          <w:szCs w:val="21"/>
        </w:rPr>
        <w:t>S</w:t>
      </w:r>
      <w:r>
        <w:rPr>
          <w:rFonts w:ascii="Calibri" w:hAnsi="Calibri" w:eastAsia="Calibri" w:cs="Calibri"/>
          <w:spacing w:val="1"/>
          <w:sz w:val="21"/>
          <w:szCs w:val="21"/>
        </w:rPr>
        <w:t>₂</w:t>
      </w:r>
      <w:r>
        <w:rPr>
          <w:rFonts w:ascii="宋体" w:hAnsi="宋体" w:eastAsia="宋体" w:cs="宋体"/>
          <w:spacing w:val="1"/>
          <w:sz w:val="21"/>
          <w:szCs w:val="21"/>
        </w:rPr>
        <w:t>0——20℃时灭火剂比容，取0.85</w:t>
      </w:r>
      <w:r>
        <w:rPr>
          <w:rFonts w:ascii="宋体" w:hAnsi="宋体" w:eastAsia="宋体" w:cs="宋体"/>
          <w:sz w:val="21"/>
          <w:szCs w:val="21"/>
        </w:rPr>
        <w:t>83m³/kg。</w:t>
      </w:r>
    </w:p>
    <w:p>
      <w:pPr>
        <w:spacing w:before="75" w:line="259" w:lineRule="auto"/>
        <w:ind w:left="29" w:right="19" w:hanging="10"/>
        <w:rPr>
          <w:rFonts w:ascii="宋体" w:hAnsi="宋体" w:eastAsia="宋体" w:cs="宋体"/>
          <w:sz w:val="21"/>
          <w:szCs w:val="21"/>
        </w:rPr>
      </w:pPr>
      <w:r>
        <w:rPr>
          <w:rFonts w:ascii="宋体" w:hAnsi="宋体" w:eastAsia="宋体" w:cs="宋体"/>
          <w:spacing w:val="6"/>
          <w:sz w:val="21"/>
          <w:szCs w:val="21"/>
        </w:rPr>
        <w:t>8.1.17灭火剂的喷放时间和浸渍时间应满足有效灭火或惰化</w:t>
      </w:r>
      <w:r>
        <w:rPr>
          <w:rFonts w:ascii="宋体" w:hAnsi="宋体" w:eastAsia="宋体" w:cs="宋体"/>
          <w:spacing w:val="7"/>
          <w:sz w:val="21"/>
          <w:szCs w:val="21"/>
        </w:rPr>
        <w:t>的要求，并应保证在60</w:t>
      </w:r>
      <w:r>
        <w:rPr>
          <w:rFonts w:ascii="Times New Roman" w:hAnsi="Times New Roman" w:eastAsia="Times New Roman" w:cs="Times New Roman"/>
          <w:spacing w:val="7"/>
          <w:sz w:val="21"/>
          <w:szCs w:val="21"/>
        </w:rPr>
        <w:t>s</w:t>
      </w:r>
      <w:r>
        <w:rPr>
          <w:rFonts w:ascii="宋体" w:hAnsi="宋体" w:eastAsia="宋体" w:cs="宋体"/>
          <w:spacing w:val="7"/>
          <w:sz w:val="21"/>
          <w:szCs w:val="21"/>
        </w:rPr>
        <w:t>之内达到最小设计浓度的95%,旦不应</w:t>
      </w:r>
      <w:r>
        <w:rPr>
          <w:rFonts w:ascii="宋体" w:hAnsi="宋体" w:eastAsia="宋体" w:cs="宋体"/>
          <w:spacing w:val="14"/>
          <w:sz w:val="21"/>
          <w:szCs w:val="21"/>
        </w:rPr>
        <w:t>小于48</w:t>
      </w:r>
      <w:r>
        <w:rPr>
          <w:rFonts w:ascii="Times New Roman" w:hAnsi="Times New Roman" w:eastAsia="Times New Roman" w:cs="Times New Roman"/>
          <w:spacing w:val="14"/>
          <w:sz w:val="21"/>
          <w:szCs w:val="21"/>
        </w:rPr>
        <w:t>s</w:t>
      </w:r>
      <w:r>
        <w:rPr>
          <w:rFonts w:ascii="宋体" w:hAnsi="宋体" w:eastAsia="宋体" w:cs="宋体"/>
          <w:spacing w:val="14"/>
          <w:sz w:val="21"/>
          <w:szCs w:val="21"/>
        </w:rPr>
        <w:t>。</w:t>
      </w:r>
    </w:p>
    <w:p>
      <w:pPr>
        <w:spacing w:before="65" w:line="246" w:lineRule="auto"/>
        <w:ind w:left="39" w:right="20" w:hanging="30"/>
        <w:rPr>
          <w:rFonts w:ascii="宋体" w:hAnsi="宋体" w:eastAsia="宋体" w:cs="宋体"/>
          <w:sz w:val="21"/>
          <w:szCs w:val="21"/>
        </w:rPr>
      </w:pPr>
      <w:r>
        <w:rPr>
          <w:rFonts w:ascii="宋体" w:hAnsi="宋体" w:eastAsia="宋体" w:cs="宋体"/>
          <w:spacing w:val="6"/>
          <w:sz w:val="21"/>
          <w:szCs w:val="21"/>
        </w:rPr>
        <w:t>8.1.18用于保护同一防护区的多套氮气灭火系统应能在灭火</w:t>
      </w:r>
      <w:r>
        <w:rPr>
          <w:rFonts w:ascii="宋体" w:hAnsi="宋体" w:eastAsia="宋体" w:cs="宋体"/>
          <w:spacing w:val="-2"/>
          <w:sz w:val="21"/>
          <w:szCs w:val="21"/>
        </w:rPr>
        <w:t>时同时启动，相互间的动作响应时差应小于或等于2s。</w:t>
      </w:r>
    </w:p>
    <w:p>
      <w:pPr>
        <w:spacing w:before="219" w:line="222" w:lineRule="auto"/>
        <w:ind w:left="2249"/>
        <w:rPr>
          <w:rFonts w:ascii="仿宋" w:hAnsi="仿宋" w:eastAsia="仿宋" w:cs="仿宋"/>
          <w:sz w:val="21"/>
          <w:szCs w:val="21"/>
        </w:rPr>
      </w:pPr>
      <w:r>
        <w:rPr>
          <w:rFonts w:ascii="仿宋" w:hAnsi="仿宋" w:eastAsia="仿宋" w:cs="仿宋"/>
          <w:spacing w:val="-10"/>
          <w:sz w:val="21"/>
          <w:szCs w:val="21"/>
        </w:rPr>
        <w:t>Ⅲ组件及要求</w:t>
      </w:r>
    </w:p>
    <w:p>
      <w:pPr>
        <w:spacing w:before="228" w:line="251" w:lineRule="auto"/>
        <w:ind w:left="48" w:hanging="19"/>
        <w:rPr>
          <w:rFonts w:ascii="宋体" w:hAnsi="宋体" w:eastAsia="宋体" w:cs="宋体"/>
          <w:sz w:val="21"/>
          <w:szCs w:val="21"/>
        </w:rPr>
      </w:pPr>
      <w:r>
        <w:rPr>
          <w:rFonts w:ascii="宋体" w:hAnsi="宋体" w:eastAsia="宋体" w:cs="宋体"/>
          <w:spacing w:val="-1"/>
          <w:sz w:val="21"/>
          <w:szCs w:val="21"/>
        </w:rPr>
        <w:t>8.1.19氮气灭火系统的管道和组件、灭火剂的储存容器及其他组件的公称压力，不应小于系统运行时在最高环境温度</w:t>
      </w:r>
      <w:r>
        <w:rPr>
          <w:rFonts w:ascii="宋体" w:hAnsi="宋体" w:eastAsia="宋体" w:cs="宋体"/>
          <w:spacing w:val="-2"/>
          <w:sz w:val="21"/>
          <w:szCs w:val="21"/>
        </w:rPr>
        <w:t>下需承受</w:t>
      </w:r>
    </w:p>
    <w:p>
      <w:pPr>
        <w:spacing w:line="251" w:lineRule="auto"/>
        <w:rPr>
          <w:rFonts w:ascii="宋体" w:hAnsi="宋体" w:eastAsia="宋体" w:cs="宋体"/>
          <w:sz w:val="21"/>
          <w:szCs w:val="21"/>
        </w:rPr>
        <w:sectPr>
          <w:footerReference r:id="rId60" w:type="default"/>
          <w:pgSz w:w="8280" w:h="11850"/>
          <w:pgMar w:top="400" w:right="1170" w:bottom="1370" w:left="1210" w:header="0" w:footer="1096" w:gutter="0"/>
          <w:cols w:space="720" w:num="1"/>
        </w:sectPr>
      </w:pPr>
    </w:p>
    <w:p>
      <w:pPr>
        <w:pStyle w:val="2"/>
        <w:spacing w:line="291" w:lineRule="auto"/>
      </w:pPr>
    </w:p>
    <w:p>
      <w:pPr>
        <w:pStyle w:val="2"/>
        <w:spacing w:line="292" w:lineRule="auto"/>
      </w:pPr>
    </w:p>
    <w:p>
      <w:pPr>
        <w:pStyle w:val="2"/>
        <w:spacing w:line="292" w:lineRule="auto"/>
      </w:pPr>
    </w:p>
    <w:p>
      <w:pPr>
        <w:spacing w:before="68" w:line="219" w:lineRule="auto"/>
        <w:rPr>
          <w:rFonts w:ascii="宋体" w:hAnsi="宋体" w:eastAsia="宋体" w:cs="宋体"/>
          <w:sz w:val="21"/>
          <w:szCs w:val="21"/>
        </w:rPr>
      </w:pPr>
      <w:r>
        <w:rPr>
          <w:rFonts w:ascii="宋体" w:hAnsi="宋体" w:eastAsia="宋体" w:cs="宋体"/>
          <w:spacing w:val="-3"/>
          <w:sz w:val="21"/>
          <w:szCs w:val="21"/>
        </w:rPr>
        <w:t>的最大工作压力。</w:t>
      </w:r>
    </w:p>
    <w:p>
      <w:pPr>
        <w:spacing w:before="59" w:line="255" w:lineRule="auto"/>
        <w:rPr>
          <w:rFonts w:ascii="宋体" w:hAnsi="宋体" w:eastAsia="宋体" w:cs="宋体"/>
          <w:sz w:val="21"/>
          <w:szCs w:val="21"/>
        </w:rPr>
      </w:pPr>
      <w:r>
        <w:rPr>
          <w:rFonts w:ascii="宋体" w:hAnsi="宋体" w:eastAsia="宋体" w:cs="宋体"/>
          <w:spacing w:val="3"/>
          <w:sz w:val="21"/>
          <w:szCs w:val="21"/>
        </w:rPr>
        <w:t>8.1.20储存装置宜由储存容器及容器阀、加压容器及容器阀、</w:t>
      </w:r>
      <w:r>
        <w:rPr>
          <w:rFonts w:ascii="宋体" w:hAnsi="宋体" w:eastAsia="宋体" w:cs="宋体"/>
          <w:spacing w:val="-12"/>
          <w:sz w:val="21"/>
          <w:szCs w:val="21"/>
        </w:rPr>
        <w:t>连接管、单向阀、安全泄压阀、集流管和检漏装置等组成。</w:t>
      </w:r>
    </w:p>
    <w:p>
      <w:pPr>
        <w:spacing w:before="60" w:line="219" w:lineRule="auto"/>
        <w:rPr>
          <w:rFonts w:ascii="宋体" w:hAnsi="宋体" w:eastAsia="宋体" w:cs="宋体"/>
          <w:sz w:val="21"/>
          <w:szCs w:val="21"/>
        </w:rPr>
      </w:pPr>
      <w:r>
        <w:rPr>
          <w:rFonts w:ascii="宋体" w:hAnsi="宋体" w:eastAsia="宋体" w:cs="宋体"/>
          <w:spacing w:val="-1"/>
          <w:sz w:val="21"/>
          <w:szCs w:val="21"/>
        </w:rPr>
        <w:t>8.1.21储存容器的设置应符合下列规定：</w:t>
      </w:r>
    </w:p>
    <w:p>
      <w:pPr>
        <w:spacing w:before="61" w:line="219" w:lineRule="auto"/>
        <w:ind w:left="420"/>
        <w:rPr>
          <w:rFonts w:ascii="宋体" w:hAnsi="宋体" w:eastAsia="宋体" w:cs="宋体"/>
          <w:sz w:val="21"/>
          <w:szCs w:val="21"/>
        </w:rPr>
      </w:pPr>
      <w:r>
        <w:rPr>
          <w:rFonts w:ascii="宋体" w:hAnsi="宋体" w:eastAsia="宋体" w:cs="宋体"/>
          <w:spacing w:val="1"/>
          <w:sz w:val="21"/>
          <w:szCs w:val="21"/>
        </w:rPr>
        <w:t>1储存容器的容器阀应具有安全泄压和</w:t>
      </w:r>
      <w:r>
        <w:rPr>
          <w:rFonts w:ascii="宋体" w:hAnsi="宋体" w:eastAsia="宋体" w:cs="宋体"/>
          <w:sz w:val="21"/>
          <w:szCs w:val="21"/>
        </w:rPr>
        <w:t>压力显示的功能。</w:t>
      </w:r>
    </w:p>
    <w:p>
      <w:pPr>
        <w:spacing w:before="80" w:line="219" w:lineRule="auto"/>
        <w:ind w:left="420"/>
        <w:rPr>
          <w:rFonts w:ascii="宋体" w:hAnsi="宋体" w:eastAsia="宋体" w:cs="宋体"/>
          <w:sz w:val="21"/>
          <w:szCs w:val="21"/>
        </w:rPr>
      </w:pPr>
      <w:r>
        <w:rPr>
          <w:rFonts w:ascii="宋体" w:hAnsi="宋体" w:eastAsia="宋体" w:cs="宋体"/>
          <w:sz w:val="21"/>
          <w:szCs w:val="21"/>
        </w:rPr>
        <w:t>2储存容器的容器阀宜具有定值减压功能。</w:t>
      </w:r>
    </w:p>
    <w:p>
      <w:pPr>
        <w:spacing w:before="70" w:line="255" w:lineRule="auto"/>
        <w:ind w:right="19" w:firstLine="420"/>
        <w:rPr>
          <w:rFonts w:ascii="宋体" w:hAnsi="宋体" w:eastAsia="宋体" w:cs="宋体"/>
          <w:sz w:val="21"/>
          <w:szCs w:val="21"/>
        </w:rPr>
      </w:pPr>
      <w:r>
        <w:rPr>
          <w:rFonts w:ascii="宋体" w:hAnsi="宋体" w:eastAsia="宋体" w:cs="宋体"/>
          <w:spacing w:val="7"/>
          <w:sz w:val="21"/>
          <w:szCs w:val="21"/>
        </w:rPr>
        <w:t>3储存容器应能承受最高环境温度下灭火剂的储存压力，</w:t>
      </w:r>
      <w:r>
        <w:rPr>
          <w:rFonts w:ascii="宋体" w:hAnsi="宋体" w:eastAsia="宋体" w:cs="宋体"/>
          <w:sz w:val="21"/>
          <w:szCs w:val="21"/>
        </w:rPr>
        <w:t>储瓶上的安全泄压装置的动作压力，应符合</w:t>
      </w:r>
      <w:r>
        <w:rPr>
          <w:rFonts w:ascii="宋体" w:hAnsi="宋体" w:eastAsia="宋体" w:cs="宋体"/>
          <w:spacing w:val="-1"/>
          <w:sz w:val="21"/>
          <w:szCs w:val="21"/>
        </w:rPr>
        <w:t>现行国家标准《气体</w:t>
      </w:r>
      <w:r>
        <w:rPr>
          <w:rFonts w:ascii="宋体" w:hAnsi="宋体" w:eastAsia="宋体" w:cs="宋体"/>
          <w:spacing w:val="-5"/>
          <w:sz w:val="21"/>
          <w:szCs w:val="21"/>
        </w:rPr>
        <w:t>灭火系统及部件》</w:t>
      </w:r>
      <w:r>
        <w:rPr>
          <w:rFonts w:ascii="Times New Roman" w:hAnsi="Times New Roman" w:eastAsia="Times New Roman" w:cs="Times New Roman"/>
          <w:spacing w:val="-5"/>
          <w:sz w:val="21"/>
          <w:szCs w:val="21"/>
        </w:rPr>
        <w:t>GB25972</w:t>
      </w:r>
      <w:r>
        <w:rPr>
          <w:rFonts w:ascii="宋体" w:hAnsi="宋体" w:eastAsia="宋体" w:cs="宋体"/>
          <w:spacing w:val="-5"/>
          <w:sz w:val="21"/>
          <w:szCs w:val="21"/>
        </w:rPr>
        <w:t>的规定。</w:t>
      </w:r>
    </w:p>
    <w:p>
      <w:pPr>
        <w:spacing w:before="81" w:line="270" w:lineRule="auto"/>
        <w:ind w:right="115" w:firstLine="420"/>
        <w:rPr>
          <w:rFonts w:ascii="宋体" w:hAnsi="宋体" w:eastAsia="宋体" w:cs="宋体"/>
          <w:sz w:val="17"/>
          <w:szCs w:val="17"/>
        </w:rPr>
      </w:pPr>
      <w:r>
        <w:rPr>
          <w:rFonts w:ascii="宋体" w:hAnsi="宋体" w:eastAsia="宋体" w:cs="宋体"/>
          <w:spacing w:val="4"/>
          <w:sz w:val="21"/>
          <w:szCs w:val="21"/>
        </w:rPr>
        <w:t>4储存容器应设置在防护区外专用的储存容</w:t>
      </w:r>
      <w:r>
        <w:rPr>
          <w:rFonts w:ascii="宋体" w:hAnsi="宋体" w:eastAsia="宋体" w:cs="宋体"/>
          <w:spacing w:val="3"/>
          <w:sz w:val="21"/>
          <w:szCs w:val="21"/>
        </w:rPr>
        <w:t>器间内；储存</w:t>
      </w:r>
      <w:r>
        <w:rPr>
          <w:rFonts w:ascii="宋体" w:hAnsi="宋体" w:eastAsia="宋体" w:cs="宋体"/>
          <w:spacing w:val="16"/>
          <w:sz w:val="21"/>
          <w:szCs w:val="21"/>
        </w:rPr>
        <w:t>容器间的楼面承载能力应能满足储存容器和其他设备的储存</w:t>
      </w:r>
      <w:r>
        <w:rPr>
          <w:rFonts w:ascii="宋体" w:hAnsi="宋体" w:eastAsia="宋体" w:cs="宋体"/>
          <w:spacing w:val="-6"/>
          <w:sz w:val="17"/>
          <w:szCs w:val="17"/>
        </w:rPr>
        <w:t>要求。</w:t>
      </w:r>
    </w:p>
    <w:p>
      <w:pPr>
        <w:spacing w:before="88" w:line="262" w:lineRule="auto"/>
        <w:ind w:right="100" w:firstLine="420"/>
        <w:rPr>
          <w:rFonts w:ascii="宋体" w:hAnsi="宋体" w:eastAsia="宋体" w:cs="宋体"/>
          <w:sz w:val="21"/>
          <w:szCs w:val="21"/>
        </w:rPr>
      </w:pPr>
      <w:r>
        <w:rPr>
          <w:rFonts w:ascii="宋体" w:hAnsi="宋体" w:eastAsia="宋体" w:cs="宋体"/>
          <w:spacing w:val="4"/>
          <w:sz w:val="21"/>
          <w:szCs w:val="21"/>
        </w:rPr>
        <w:t>5组合分配系统，应在集流管的封闭管段上设</w:t>
      </w:r>
      <w:r>
        <w:rPr>
          <w:rFonts w:ascii="宋体" w:hAnsi="宋体" w:eastAsia="宋体" w:cs="宋体"/>
          <w:spacing w:val="3"/>
          <w:sz w:val="21"/>
          <w:szCs w:val="21"/>
        </w:rPr>
        <w:t>置安全泄压</w:t>
      </w:r>
      <w:r>
        <w:rPr>
          <w:rFonts w:ascii="宋体" w:hAnsi="宋体" w:eastAsia="宋体" w:cs="宋体"/>
          <w:spacing w:val="-1"/>
          <w:sz w:val="21"/>
          <w:szCs w:val="21"/>
        </w:rPr>
        <w:t>装置，泄压方向不应朝向操作面或人员疏散通道，其动作压力应</w:t>
      </w:r>
      <w:r>
        <w:rPr>
          <w:rFonts w:ascii="宋体" w:hAnsi="宋体" w:eastAsia="宋体" w:cs="宋体"/>
          <w:spacing w:val="-4"/>
          <w:sz w:val="21"/>
          <w:szCs w:val="21"/>
        </w:rPr>
        <w:t>符合现行国家标准《气体灭火系统及部件》</w:t>
      </w:r>
      <w:r>
        <w:rPr>
          <w:rFonts w:ascii="Times New Roman" w:hAnsi="Times New Roman" w:eastAsia="Times New Roman" w:cs="Times New Roman"/>
          <w:spacing w:val="-4"/>
          <w:sz w:val="21"/>
          <w:szCs w:val="21"/>
        </w:rPr>
        <w:t>GB25972</w:t>
      </w:r>
      <w:r>
        <w:rPr>
          <w:rFonts w:ascii="宋体" w:hAnsi="宋体" w:eastAsia="宋体" w:cs="宋体"/>
          <w:spacing w:val="-4"/>
          <w:sz w:val="21"/>
          <w:szCs w:val="21"/>
        </w:rPr>
        <w:t>的规定；同</w:t>
      </w:r>
      <w:r>
        <w:rPr>
          <w:rFonts w:ascii="宋体" w:hAnsi="宋体" w:eastAsia="宋体" w:cs="宋体"/>
          <w:spacing w:val="-7"/>
          <w:sz w:val="21"/>
          <w:szCs w:val="21"/>
        </w:rPr>
        <w:t>一集流管上的储存容器，其规格、尺寸、灭火剂充装量及充装压力</w:t>
      </w:r>
      <w:r>
        <w:rPr>
          <w:rFonts w:ascii="宋体" w:hAnsi="宋体" w:eastAsia="宋体" w:cs="宋体"/>
          <w:spacing w:val="-3"/>
          <w:sz w:val="21"/>
          <w:szCs w:val="21"/>
        </w:rPr>
        <w:t>均应相同。</w:t>
      </w:r>
    </w:p>
    <w:p>
      <w:pPr>
        <w:spacing w:before="79" w:line="254" w:lineRule="auto"/>
        <w:ind w:right="115" w:firstLine="420"/>
        <w:rPr>
          <w:rFonts w:ascii="宋体" w:hAnsi="宋体" w:eastAsia="宋体" w:cs="宋体"/>
          <w:sz w:val="21"/>
          <w:szCs w:val="21"/>
        </w:rPr>
      </w:pPr>
      <w:r>
        <w:rPr>
          <w:rFonts w:ascii="宋体" w:hAnsi="宋体" w:eastAsia="宋体" w:cs="宋体"/>
          <w:spacing w:val="4"/>
          <w:sz w:val="21"/>
          <w:szCs w:val="21"/>
        </w:rPr>
        <w:t>6储存容器</w:t>
      </w:r>
      <w:r>
        <w:rPr>
          <w:rFonts w:ascii="宋体" w:hAnsi="宋体" w:eastAsia="宋体" w:cs="宋体"/>
          <w:spacing w:val="4"/>
          <w:sz w:val="21"/>
          <w:szCs w:val="21"/>
          <w:u w:val="single" w:color="auto"/>
        </w:rPr>
        <w:t>上应</w:t>
      </w:r>
      <w:r>
        <w:rPr>
          <w:rFonts w:ascii="宋体" w:hAnsi="宋体" w:eastAsia="宋体" w:cs="宋体"/>
          <w:spacing w:val="4"/>
          <w:sz w:val="21"/>
          <w:szCs w:val="21"/>
        </w:rPr>
        <w:t>设耐久的固定标牌，并标明每个储存容器</w:t>
      </w:r>
      <w:r>
        <w:rPr>
          <w:rFonts w:ascii="宋体" w:hAnsi="宋体" w:eastAsia="宋体" w:cs="宋体"/>
          <w:spacing w:val="-14"/>
          <w:sz w:val="21"/>
          <w:szCs w:val="21"/>
        </w:rPr>
        <w:t>的编号、容积、灭火剂名称、充装压力和充装日期等。</w:t>
      </w:r>
    </w:p>
    <w:p>
      <w:pPr>
        <w:spacing w:before="62" w:line="219" w:lineRule="auto"/>
        <w:ind w:left="420"/>
        <w:rPr>
          <w:rFonts w:ascii="宋体" w:hAnsi="宋体" w:eastAsia="宋体" w:cs="宋体"/>
          <w:sz w:val="21"/>
          <w:szCs w:val="21"/>
        </w:rPr>
      </w:pPr>
      <w:r>
        <w:rPr>
          <w:rFonts w:ascii="宋体" w:hAnsi="宋体" w:eastAsia="宋体" w:cs="宋体"/>
          <w:spacing w:val="13"/>
          <w:sz w:val="21"/>
          <w:szCs w:val="21"/>
        </w:rPr>
        <w:t>7储存容器安装应能便于再充装和装卸，宜</w:t>
      </w:r>
      <w:r>
        <w:rPr>
          <w:rFonts w:ascii="宋体" w:hAnsi="宋体" w:eastAsia="宋体" w:cs="宋体"/>
          <w:spacing w:val="12"/>
          <w:sz w:val="21"/>
          <w:szCs w:val="21"/>
        </w:rPr>
        <w:t>留出不小于</w:t>
      </w:r>
    </w:p>
    <w:p>
      <w:pPr>
        <w:spacing w:before="60" w:line="219" w:lineRule="auto"/>
        <w:rPr>
          <w:rFonts w:ascii="宋体" w:hAnsi="宋体" w:eastAsia="宋体" w:cs="宋体"/>
          <w:sz w:val="21"/>
          <w:szCs w:val="21"/>
        </w:rPr>
      </w:pPr>
      <w:r>
        <w:rPr>
          <w:rFonts w:ascii="宋体" w:hAnsi="宋体" w:eastAsia="宋体" w:cs="宋体"/>
          <w:spacing w:val="-1"/>
          <w:sz w:val="21"/>
          <w:szCs w:val="21"/>
        </w:rPr>
        <w:t>0.8m的操作间距，且不应小于1.5倍储存容器外径尺寸。</w:t>
      </w:r>
    </w:p>
    <w:p>
      <w:pPr>
        <w:spacing w:before="82" w:line="274" w:lineRule="auto"/>
        <w:ind w:right="112" w:firstLine="420"/>
        <w:rPr>
          <w:rFonts w:ascii="宋体" w:hAnsi="宋体" w:eastAsia="宋体" w:cs="宋体"/>
          <w:sz w:val="21"/>
          <w:szCs w:val="21"/>
        </w:rPr>
      </w:pPr>
      <w:r>
        <w:rPr>
          <w:rFonts w:ascii="宋体" w:hAnsi="宋体" w:eastAsia="宋体" w:cs="宋体"/>
          <w:spacing w:val="4"/>
          <w:sz w:val="21"/>
          <w:szCs w:val="21"/>
        </w:rPr>
        <w:t>8储存容器应固定牢固。采用固定支架固定时，宜背</w:t>
      </w:r>
      <w:r>
        <w:rPr>
          <w:rFonts w:ascii="宋体" w:hAnsi="宋体" w:eastAsia="宋体" w:cs="宋体"/>
          <w:spacing w:val="3"/>
          <w:sz w:val="21"/>
          <w:szCs w:val="21"/>
        </w:rPr>
        <w:t>靠安</w:t>
      </w:r>
      <w:r>
        <w:rPr>
          <w:rFonts w:ascii="宋体" w:hAnsi="宋体" w:eastAsia="宋体" w:cs="宋体"/>
          <w:spacing w:val="-11"/>
          <w:sz w:val="21"/>
          <w:szCs w:val="21"/>
        </w:rPr>
        <w:t>装；采用固定夹固定时，可单排或双排安装。</w:t>
      </w:r>
    </w:p>
    <w:p>
      <w:pPr>
        <w:spacing w:before="7" w:line="219" w:lineRule="auto"/>
        <w:rPr>
          <w:rFonts w:ascii="宋体" w:hAnsi="宋体" w:eastAsia="宋体" w:cs="宋体"/>
          <w:sz w:val="21"/>
          <w:szCs w:val="21"/>
        </w:rPr>
      </w:pPr>
      <w:r>
        <w:rPr>
          <w:rFonts w:ascii="Times New Roman" w:hAnsi="Times New Roman" w:eastAsia="Times New Roman" w:cs="Times New Roman"/>
          <w:b/>
          <w:bCs/>
          <w:sz w:val="21"/>
          <w:szCs w:val="21"/>
        </w:rPr>
        <w:t>8.1.22</w:t>
      </w:r>
      <w:r>
        <w:rPr>
          <w:rFonts w:ascii="宋体" w:hAnsi="宋体" w:eastAsia="宋体" w:cs="宋体"/>
          <w:sz w:val="21"/>
          <w:szCs w:val="21"/>
        </w:rPr>
        <w:t>专用的储存容器间应符</w:t>
      </w:r>
      <w:r>
        <w:rPr>
          <w:rFonts w:ascii="宋体" w:hAnsi="宋体" w:eastAsia="宋体" w:cs="宋体"/>
          <w:spacing w:val="-1"/>
          <w:sz w:val="21"/>
          <w:szCs w:val="21"/>
        </w:rPr>
        <w:t>合下列规定：</w:t>
      </w:r>
    </w:p>
    <w:p>
      <w:pPr>
        <w:spacing w:before="71" w:line="250" w:lineRule="auto"/>
        <w:ind w:right="116" w:firstLine="420"/>
        <w:rPr>
          <w:rFonts w:ascii="宋体" w:hAnsi="宋体" w:eastAsia="宋体" w:cs="宋体"/>
          <w:sz w:val="21"/>
          <w:szCs w:val="21"/>
        </w:rPr>
      </w:pPr>
      <w:r>
        <w:rPr>
          <w:rFonts w:ascii="宋体" w:hAnsi="宋体" w:eastAsia="宋体" w:cs="宋体"/>
          <w:spacing w:val="4"/>
          <w:sz w:val="21"/>
          <w:szCs w:val="21"/>
        </w:rPr>
        <w:t>1储存容器间宜靠近防护区或有人值班处，</w:t>
      </w:r>
      <w:r>
        <w:rPr>
          <w:rFonts w:ascii="宋体" w:hAnsi="宋体" w:eastAsia="宋体" w:cs="宋体"/>
          <w:spacing w:val="3"/>
          <w:sz w:val="21"/>
          <w:szCs w:val="21"/>
        </w:rPr>
        <w:t>其出口应直通</w:t>
      </w:r>
      <w:r>
        <w:rPr>
          <w:rFonts w:ascii="宋体" w:hAnsi="宋体" w:eastAsia="宋体" w:cs="宋体"/>
          <w:spacing w:val="-5"/>
          <w:sz w:val="21"/>
          <w:szCs w:val="21"/>
        </w:rPr>
        <w:t>室外或疏散走道。</w:t>
      </w:r>
    </w:p>
    <w:p>
      <w:pPr>
        <w:spacing w:before="51" w:line="250" w:lineRule="auto"/>
        <w:ind w:right="115" w:firstLine="420"/>
        <w:rPr>
          <w:rFonts w:ascii="宋体" w:hAnsi="宋体" w:eastAsia="宋体" w:cs="宋体"/>
          <w:sz w:val="21"/>
          <w:szCs w:val="21"/>
        </w:rPr>
      </w:pPr>
      <w:r>
        <w:rPr>
          <w:rFonts w:ascii="宋体" w:hAnsi="宋体" w:eastAsia="宋体" w:cs="宋体"/>
          <w:spacing w:val="4"/>
          <w:sz w:val="21"/>
          <w:szCs w:val="21"/>
        </w:rPr>
        <w:t>2储存容器间的耐火等级不应低于二级，楼</w:t>
      </w:r>
      <w:r>
        <w:rPr>
          <w:rFonts w:ascii="宋体" w:hAnsi="宋体" w:eastAsia="宋体" w:cs="宋体"/>
          <w:spacing w:val="3"/>
          <w:sz w:val="21"/>
          <w:szCs w:val="21"/>
        </w:rPr>
        <w:t>面承载能力应</w:t>
      </w:r>
      <w:r>
        <w:rPr>
          <w:rFonts w:ascii="宋体" w:hAnsi="宋体" w:eastAsia="宋体" w:cs="宋体"/>
          <w:spacing w:val="-3"/>
          <w:sz w:val="21"/>
          <w:szCs w:val="21"/>
        </w:rPr>
        <w:t>能满足荷载要求。</w:t>
      </w:r>
    </w:p>
    <w:p>
      <w:pPr>
        <w:spacing w:before="71" w:line="219" w:lineRule="auto"/>
        <w:ind w:left="420"/>
        <w:rPr>
          <w:rFonts w:ascii="宋体" w:hAnsi="宋体" w:eastAsia="宋体" w:cs="宋体"/>
          <w:sz w:val="21"/>
          <w:szCs w:val="21"/>
        </w:rPr>
      </w:pPr>
      <w:r>
        <w:rPr>
          <w:rFonts w:ascii="宋体" w:hAnsi="宋体" w:eastAsia="宋体" w:cs="宋体"/>
          <w:sz w:val="21"/>
          <w:szCs w:val="21"/>
        </w:rPr>
        <w:t>3储存容器间内应设应急照明。</w:t>
      </w:r>
    </w:p>
    <w:p>
      <w:pPr>
        <w:spacing w:line="219" w:lineRule="auto"/>
        <w:rPr>
          <w:rFonts w:ascii="宋体" w:hAnsi="宋体" w:eastAsia="宋体" w:cs="宋体"/>
          <w:sz w:val="21"/>
          <w:szCs w:val="21"/>
        </w:rPr>
        <w:sectPr>
          <w:footerReference r:id="rId61" w:type="default"/>
          <w:pgSz w:w="8280" w:h="11850"/>
          <w:pgMar w:top="400" w:right="1105" w:bottom="1310" w:left="1179" w:header="0" w:footer="1037" w:gutter="0"/>
          <w:cols w:space="720" w:num="1"/>
        </w:sectPr>
      </w:pPr>
    </w:p>
    <w:p>
      <w:pPr>
        <w:pStyle w:val="2"/>
        <w:spacing w:line="273" w:lineRule="auto"/>
      </w:pPr>
    </w:p>
    <w:p>
      <w:pPr>
        <w:pStyle w:val="2"/>
        <w:spacing w:line="274" w:lineRule="auto"/>
      </w:pPr>
    </w:p>
    <w:p>
      <w:pPr>
        <w:pStyle w:val="2"/>
        <w:spacing w:line="274" w:lineRule="auto"/>
      </w:pPr>
    </w:p>
    <w:p>
      <w:pPr>
        <w:spacing w:before="68" w:line="252" w:lineRule="auto"/>
        <w:ind w:right="34" w:firstLine="410"/>
        <w:rPr>
          <w:rFonts w:ascii="宋体" w:hAnsi="宋体" w:eastAsia="宋体" w:cs="宋体"/>
          <w:sz w:val="21"/>
          <w:szCs w:val="21"/>
        </w:rPr>
      </w:pPr>
      <w:bookmarkStart w:id="46" w:name="bookmark92"/>
      <w:bookmarkEnd w:id="46"/>
      <w:r>
        <w:rPr>
          <w:rFonts w:ascii="宋体" w:hAnsi="宋体" w:eastAsia="宋体" w:cs="宋体"/>
          <w:spacing w:val="11"/>
          <w:sz w:val="21"/>
          <w:szCs w:val="21"/>
        </w:rPr>
        <w:t>4储存容器间的室内温度应为—10℃~5</w:t>
      </w:r>
      <w:r>
        <w:rPr>
          <w:rFonts w:ascii="宋体" w:hAnsi="宋体" w:eastAsia="宋体" w:cs="宋体"/>
          <w:spacing w:val="10"/>
          <w:sz w:val="21"/>
          <w:szCs w:val="21"/>
        </w:rPr>
        <w:t>0℃,并应保持干</w:t>
      </w:r>
      <w:r>
        <w:rPr>
          <w:rFonts w:ascii="宋体" w:hAnsi="宋体" w:eastAsia="宋体" w:cs="宋体"/>
          <w:spacing w:val="-8"/>
          <w:sz w:val="21"/>
          <w:szCs w:val="21"/>
        </w:rPr>
        <w:t>燥和良好通风，避免阳光直接照射。</w:t>
      </w:r>
    </w:p>
    <w:p>
      <w:pPr>
        <w:spacing w:before="69" w:line="250" w:lineRule="auto"/>
        <w:ind w:right="35" w:firstLine="419"/>
        <w:rPr>
          <w:rFonts w:ascii="宋体" w:hAnsi="宋体" w:eastAsia="宋体" w:cs="宋体"/>
          <w:sz w:val="21"/>
          <w:szCs w:val="21"/>
        </w:rPr>
      </w:pPr>
      <w:r>
        <w:rPr>
          <w:rFonts w:ascii="宋体" w:hAnsi="宋体" w:eastAsia="宋体" w:cs="宋体"/>
          <w:spacing w:val="-5"/>
          <w:sz w:val="21"/>
          <w:szCs w:val="21"/>
        </w:rPr>
        <w:t>5设在地下、半地下或无可开启窗扇的储存容器间，应设置</w:t>
      </w:r>
      <w:r>
        <w:rPr>
          <w:rFonts w:ascii="宋体" w:hAnsi="宋体" w:eastAsia="宋体" w:cs="宋体"/>
          <w:spacing w:val="-4"/>
          <w:sz w:val="21"/>
          <w:szCs w:val="21"/>
        </w:rPr>
        <w:t>机械通风换气装置。</w:t>
      </w:r>
    </w:p>
    <w:p>
      <w:pPr>
        <w:spacing w:before="62" w:line="250" w:lineRule="auto"/>
        <w:ind w:right="32" w:firstLine="3"/>
        <w:rPr>
          <w:rFonts w:ascii="宋体" w:hAnsi="宋体" w:eastAsia="宋体" w:cs="宋体"/>
          <w:sz w:val="21"/>
          <w:szCs w:val="21"/>
        </w:rPr>
      </w:pPr>
      <w:r>
        <w:rPr>
          <w:rFonts w:ascii="宋体" w:hAnsi="宋体" w:eastAsia="宋体" w:cs="宋体"/>
          <w:b/>
          <w:bCs/>
          <w:spacing w:val="-2"/>
          <w:sz w:val="21"/>
          <w:szCs w:val="21"/>
        </w:rPr>
        <w:t>8.1.23</w:t>
      </w:r>
      <w:r>
        <w:rPr>
          <w:rFonts w:ascii="宋体" w:hAnsi="宋体" w:eastAsia="宋体" w:cs="宋体"/>
          <w:spacing w:val="-2"/>
          <w:sz w:val="21"/>
          <w:szCs w:val="21"/>
        </w:rPr>
        <w:t>备用量的储存容器宜与系统管网相连，并能与主储存容</w:t>
      </w:r>
      <w:r>
        <w:rPr>
          <w:rFonts w:ascii="宋体" w:hAnsi="宋体" w:eastAsia="宋体" w:cs="宋体"/>
          <w:spacing w:val="-6"/>
          <w:sz w:val="21"/>
          <w:szCs w:val="21"/>
        </w:rPr>
        <w:t>器切换使用。</w:t>
      </w:r>
    </w:p>
    <w:p>
      <w:pPr>
        <w:spacing w:before="71" w:line="259" w:lineRule="auto"/>
        <w:ind w:right="3" w:firstLine="3"/>
        <w:rPr>
          <w:rFonts w:ascii="宋体" w:hAnsi="宋体" w:eastAsia="宋体" w:cs="宋体"/>
          <w:sz w:val="21"/>
          <w:szCs w:val="21"/>
        </w:rPr>
      </w:pPr>
      <w:r>
        <w:rPr>
          <w:rFonts w:ascii="宋体" w:hAnsi="宋体" w:eastAsia="宋体" w:cs="宋体"/>
          <w:b/>
          <w:bCs/>
          <w:spacing w:val="-1"/>
          <w:sz w:val="21"/>
          <w:szCs w:val="21"/>
        </w:rPr>
        <w:t>8.1.24</w:t>
      </w:r>
      <w:r>
        <w:rPr>
          <w:rFonts w:ascii="宋体" w:hAnsi="宋体" w:eastAsia="宋体" w:cs="宋体"/>
          <w:spacing w:val="-1"/>
          <w:sz w:val="21"/>
          <w:szCs w:val="21"/>
        </w:rPr>
        <w:t>组合分配系统中，每个防护区应设置能自动启动的选择</w:t>
      </w:r>
      <w:r>
        <w:rPr>
          <w:rFonts w:ascii="宋体" w:hAnsi="宋体" w:eastAsia="宋体" w:cs="宋体"/>
          <w:spacing w:val="7"/>
          <w:sz w:val="21"/>
          <w:szCs w:val="21"/>
        </w:rPr>
        <w:t>阀，选择阀的公称直径应与灭火剂输送主干管道的公称</w:t>
      </w:r>
      <w:r>
        <w:rPr>
          <w:rFonts w:ascii="宋体" w:hAnsi="宋体" w:eastAsia="宋体" w:cs="宋体"/>
          <w:spacing w:val="6"/>
          <w:sz w:val="21"/>
          <w:szCs w:val="21"/>
        </w:rPr>
        <w:t>直径相</w:t>
      </w:r>
      <w:r>
        <w:rPr>
          <w:rFonts w:ascii="宋体" w:hAnsi="宋体" w:eastAsia="宋体" w:cs="宋体"/>
          <w:spacing w:val="-2"/>
          <w:sz w:val="21"/>
          <w:szCs w:val="21"/>
        </w:rPr>
        <w:t>同。选择阀的安装位置应便于操作和维护检查，宜集中安装在储</w:t>
      </w:r>
      <w:r>
        <w:rPr>
          <w:rFonts w:ascii="宋体" w:hAnsi="宋体" w:eastAsia="宋体" w:cs="宋体"/>
          <w:spacing w:val="-5"/>
          <w:sz w:val="21"/>
          <w:szCs w:val="21"/>
        </w:rPr>
        <w:t>存容器间内，并应设有标明防护区名称的永久性标牌。</w:t>
      </w:r>
    </w:p>
    <w:p>
      <w:pPr>
        <w:spacing w:before="79" w:line="256" w:lineRule="auto"/>
        <w:rPr>
          <w:rFonts w:ascii="宋体" w:hAnsi="宋体" w:eastAsia="宋体" w:cs="宋体"/>
          <w:sz w:val="21"/>
          <w:szCs w:val="21"/>
        </w:rPr>
      </w:pPr>
      <w:r>
        <w:rPr>
          <w:rFonts w:ascii="Times New Roman" w:hAnsi="Times New Roman" w:eastAsia="Times New Roman" w:cs="Times New Roman"/>
          <w:b/>
          <w:bCs/>
          <w:sz w:val="21"/>
          <w:szCs w:val="21"/>
        </w:rPr>
        <w:t>8.1.25</w:t>
      </w:r>
      <w:r>
        <w:rPr>
          <w:rFonts w:ascii="宋体" w:hAnsi="宋体" w:eastAsia="宋体" w:cs="宋体"/>
          <w:sz w:val="21"/>
          <w:szCs w:val="21"/>
        </w:rPr>
        <w:t>选择阀可采用气动、电动启动方式，并应有机械应急操</w:t>
      </w:r>
      <w:r>
        <w:rPr>
          <w:rFonts w:ascii="宋体" w:hAnsi="宋体" w:eastAsia="宋体" w:cs="宋体"/>
          <w:spacing w:val="-3"/>
          <w:sz w:val="21"/>
          <w:szCs w:val="21"/>
        </w:rPr>
        <w:t>作方式。</w:t>
      </w:r>
    </w:p>
    <w:p>
      <w:pPr>
        <w:spacing w:before="58" w:line="251" w:lineRule="auto"/>
        <w:ind w:right="33" w:firstLine="3"/>
        <w:rPr>
          <w:rFonts w:ascii="宋体" w:hAnsi="宋体" w:eastAsia="宋体" w:cs="宋体"/>
          <w:sz w:val="21"/>
          <w:szCs w:val="21"/>
        </w:rPr>
      </w:pPr>
      <w:r>
        <w:rPr>
          <w:rFonts w:ascii="宋体" w:hAnsi="宋体" w:eastAsia="宋体" w:cs="宋体"/>
          <w:b/>
          <w:bCs/>
          <w:spacing w:val="5"/>
          <w:sz w:val="21"/>
          <w:szCs w:val="21"/>
        </w:rPr>
        <w:t>8.1.26</w:t>
      </w:r>
      <w:r>
        <w:rPr>
          <w:rFonts w:ascii="宋体" w:hAnsi="宋体" w:eastAsia="宋体" w:cs="宋体"/>
          <w:spacing w:val="5"/>
          <w:sz w:val="21"/>
          <w:szCs w:val="21"/>
        </w:rPr>
        <w:t>在通向每个防护区或保护对象的氮气灭火系统主管道</w:t>
      </w:r>
      <w:r>
        <w:rPr>
          <w:rFonts w:ascii="宋体" w:hAnsi="宋体" w:eastAsia="宋体" w:cs="宋体"/>
          <w:spacing w:val="-9"/>
          <w:sz w:val="21"/>
          <w:szCs w:val="21"/>
        </w:rPr>
        <w:t>上，应设置信号反馈装置。</w:t>
      </w:r>
    </w:p>
    <w:p>
      <w:pPr>
        <w:spacing w:before="58" w:line="266" w:lineRule="auto"/>
        <w:ind w:right="24"/>
        <w:rPr>
          <w:rFonts w:ascii="宋体" w:hAnsi="宋体" w:eastAsia="宋体" w:cs="宋体"/>
          <w:sz w:val="21"/>
          <w:szCs w:val="21"/>
        </w:rPr>
      </w:pPr>
      <w:r>
        <w:rPr>
          <w:rFonts w:ascii="宋体" w:hAnsi="宋体" w:eastAsia="宋体" w:cs="宋体"/>
          <w:spacing w:val="-1"/>
          <w:sz w:val="21"/>
          <w:szCs w:val="21"/>
        </w:rPr>
        <w:t>8.1.27灭火剂输送管道应采用无缝钢管、铜管或不锈钢管，并</w:t>
      </w:r>
      <w:r>
        <w:rPr>
          <w:rFonts w:ascii="宋体" w:hAnsi="宋体" w:eastAsia="宋体" w:cs="宋体"/>
          <w:spacing w:val="-8"/>
          <w:sz w:val="21"/>
          <w:szCs w:val="21"/>
        </w:rPr>
        <w:t>应符合现行国家标准《气体灭火系统及部件》</w:t>
      </w:r>
      <w:r>
        <w:rPr>
          <w:rFonts w:ascii="Times New Roman" w:hAnsi="Times New Roman" w:eastAsia="Times New Roman" w:cs="Times New Roman"/>
          <w:spacing w:val="-8"/>
          <w:sz w:val="21"/>
          <w:szCs w:val="21"/>
        </w:rPr>
        <w:t>GB25</w:t>
      </w:r>
      <w:r>
        <w:rPr>
          <w:rFonts w:ascii="Times New Roman" w:hAnsi="Times New Roman" w:eastAsia="Times New Roman" w:cs="Times New Roman"/>
          <w:spacing w:val="-9"/>
          <w:sz w:val="21"/>
          <w:szCs w:val="21"/>
        </w:rPr>
        <w:t>972</w:t>
      </w:r>
      <w:r>
        <w:rPr>
          <w:rFonts w:ascii="宋体" w:hAnsi="宋体" w:eastAsia="宋体" w:cs="宋体"/>
          <w:spacing w:val="-9"/>
          <w:sz w:val="21"/>
          <w:szCs w:val="21"/>
        </w:rPr>
        <w:t>、《输送流</w:t>
      </w:r>
      <w:r>
        <w:rPr>
          <w:rFonts w:ascii="宋体" w:hAnsi="宋体" w:eastAsia="宋体" w:cs="宋体"/>
          <w:spacing w:val="12"/>
          <w:sz w:val="21"/>
          <w:szCs w:val="21"/>
        </w:rPr>
        <w:t>体用无缝钢管》</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/T8163</w:t>
      </w:r>
      <w:r>
        <w:rPr>
          <w:rFonts w:ascii="宋体" w:hAnsi="宋体" w:eastAsia="宋体" w:cs="宋体"/>
          <w:spacing w:val="12"/>
          <w:sz w:val="21"/>
          <w:szCs w:val="21"/>
        </w:rPr>
        <w:t>、《高压锅炉用无缝钢管》</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/T</w:t>
      </w:r>
      <w:r>
        <w:rPr>
          <w:rFonts w:ascii="宋体" w:hAnsi="宋体" w:eastAsia="宋体" w:cs="宋体"/>
          <w:spacing w:val="-6"/>
          <w:sz w:val="21"/>
          <w:szCs w:val="21"/>
        </w:rPr>
        <w:t>5310等的规定，可采用螺纹连接、法兰连接或焊</w:t>
      </w:r>
      <w:r>
        <w:rPr>
          <w:rFonts w:ascii="宋体" w:hAnsi="宋体" w:eastAsia="宋体" w:cs="宋体"/>
          <w:spacing w:val="-7"/>
          <w:sz w:val="21"/>
          <w:szCs w:val="21"/>
        </w:rPr>
        <w:t>接连接方式。</w:t>
      </w:r>
    </w:p>
    <w:p>
      <w:pPr>
        <w:spacing w:before="61" w:line="261" w:lineRule="auto"/>
        <w:ind w:right="20"/>
        <w:rPr>
          <w:rFonts w:ascii="宋体" w:hAnsi="宋体" w:eastAsia="宋体" w:cs="宋体"/>
          <w:sz w:val="21"/>
          <w:szCs w:val="21"/>
        </w:rPr>
      </w:pPr>
      <w:r>
        <w:rPr>
          <w:rFonts w:ascii="宋体" w:hAnsi="宋体" w:eastAsia="宋体" w:cs="宋体"/>
          <w:spacing w:val="-1"/>
          <w:sz w:val="21"/>
          <w:szCs w:val="21"/>
        </w:rPr>
        <w:t>8.1.28采用气动方式开启储存容器阀和选择阀时，启动气体输</w:t>
      </w:r>
      <w:r>
        <w:rPr>
          <w:rFonts w:ascii="宋体" w:hAnsi="宋体" w:eastAsia="宋体" w:cs="宋体"/>
          <w:spacing w:val="15"/>
          <w:sz w:val="21"/>
          <w:szCs w:val="21"/>
        </w:rPr>
        <w:t>送的管道宜采用铜管，且应能承受相应启动气体的最</w:t>
      </w:r>
      <w:r>
        <w:rPr>
          <w:rFonts w:ascii="宋体" w:hAnsi="宋体" w:eastAsia="宋体" w:cs="宋体"/>
          <w:spacing w:val="14"/>
          <w:sz w:val="21"/>
          <w:szCs w:val="21"/>
        </w:rPr>
        <w:t>高储存</w:t>
      </w:r>
      <w:r>
        <w:rPr>
          <w:rFonts w:ascii="宋体" w:hAnsi="宋体" w:eastAsia="宋体" w:cs="宋体"/>
          <w:spacing w:val="-4"/>
          <w:sz w:val="21"/>
          <w:szCs w:val="21"/>
        </w:rPr>
        <w:t>压力。</w:t>
      </w:r>
    </w:p>
    <w:p>
      <w:pPr>
        <w:spacing w:before="60" w:line="255" w:lineRule="auto"/>
        <w:ind w:right="12" w:firstLine="3"/>
        <w:rPr>
          <w:rFonts w:ascii="宋体" w:hAnsi="宋体" w:eastAsia="宋体" w:cs="宋体"/>
          <w:sz w:val="21"/>
          <w:szCs w:val="21"/>
        </w:rPr>
      </w:pPr>
      <w:r>
        <w:rPr>
          <w:rFonts w:ascii="宋体" w:hAnsi="宋体" w:eastAsia="宋体" w:cs="宋体"/>
          <w:b/>
          <w:bCs/>
          <w:spacing w:val="-7"/>
          <w:sz w:val="21"/>
          <w:szCs w:val="21"/>
        </w:rPr>
        <w:t>8.1.29</w:t>
      </w:r>
      <w:r>
        <w:rPr>
          <w:rFonts w:ascii="宋体" w:hAnsi="宋体" w:eastAsia="宋体" w:cs="宋体"/>
          <w:spacing w:val="-7"/>
          <w:sz w:val="21"/>
          <w:szCs w:val="21"/>
        </w:rPr>
        <w:t>喷头应有型号、规格的永久性标识；设置在</w:t>
      </w:r>
      <w:r>
        <w:rPr>
          <w:rFonts w:ascii="宋体" w:hAnsi="宋体" w:eastAsia="宋体" w:cs="宋体"/>
          <w:spacing w:val="-8"/>
          <w:sz w:val="21"/>
          <w:szCs w:val="21"/>
        </w:rPr>
        <w:t>有粉尘、油雾等防护区的喷头，应设有防护装置。</w:t>
      </w:r>
    </w:p>
    <w:p>
      <w:pPr>
        <w:spacing w:before="61" w:line="255" w:lineRule="auto"/>
        <w:ind w:right="21"/>
        <w:rPr>
          <w:rFonts w:ascii="宋体" w:hAnsi="宋体" w:eastAsia="宋体" w:cs="宋体"/>
          <w:sz w:val="21"/>
          <w:szCs w:val="21"/>
        </w:rPr>
      </w:pPr>
      <w:r>
        <w:rPr>
          <w:rFonts w:ascii="宋体" w:hAnsi="宋体" w:eastAsia="宋体" w:cs="宋体"/>
          <w:spacing w:val="6"/>
          <w:sz w:val="21"/>
          <w:szCs w:val="21"/>
        </w:rPr>
        <w:t>8.1.30喷头的布置应满足喷放后气体灭火剂在防护区内均匀</w:t>
      </w:r>
      <w:r>
        <w:rPr>
          <w:rFonts w:ascii="宋体" w:hAnsi="宋体" w:eastAsia="宋体" w:cs="宋体"/>
          <w:spacing w:val="-2"/>
          <w:sz w:val="21"/>
          <w:szCs w:val="21"/>
        </w:rPr>
        <w:t>分布的要求。当保护对象属可燃液体时，喷头射流方向不应朝向</w:t>
      </w:r>
      <w:r>
        <w:rPr>
          <w:rFonts w:ascii="宋体" w:hAnsi="宋体" w:eastAsia="宋体" w:cs="宋体"/>
          <w:spacing w:val="-5"/>
          <w:sz w:val="21"/>
          <w:szCs w:val="21"/>
        </w:rPr>
        <w:t>可燃液体表面。</w:t>
      </w:r>
    </w:p>
    <w:p>
      <w:pPr>
        <w:spacing w:before="235" w:line="220" w:lineRule="auto"/>
        <w:ind w:left="2250"/>
        <w:rPr>
          <w:rFonts w:ascii="仿宋" w:hAnsi="仿宋" w:eastAsia="仿宋" w:cs="仿宋"/>
          <w:sz w:val="21"/>
          <w:szCs w:val="21"/>
        </w:rPr>
      </w:pPr>
      <w:r>
        <w:rPr>
          <w:rFonts w:ascii="宋体" w:hAnsi="宋体" w:eastAsia="宋体" w:cs="宋体"/>
          <w:spacing w:val="-5"/>
          <w:sz w:val="21"/>
          <w:szCs w:val="21"/>
        </w:rPr>
        <w:t>IV</w:t>
      </w:r>
      <w:r>
        <w:rPr>
          <w:rFonts w:ascii="仿宋" w:hAnsi="仿宋" w:eastAsia="仿宋" w:cs="仿宋"/>
          <w:spacing w:val="-5"/>
          <w:sz w:val="21"/>
          <w:szCs w:val="21"/>
        </w:rPr>
        <w:t>控制与操作</w:t>
      </w:r>
    </w:p>
    <w:p>
      <w:pPr>
        <w:spacing w:before="223" w:line="219" w:lineRule="auto"/>
        <w:ind w:left="3"/>
        <w:rPr>
          <w:rFonts w:ascii="宋体" w:hAnsi="宋体" w:eastAsia="宋体" w:cs="宋体"/>
          <w:sz w:val="21"/>
          <w:szCs w:val="21"/>
        </w:rPr>
      </w:pPr>
      <w:r>
        <w:rPr>
          <w:rFonts w:ascii="宋体" w:hAnsi="宋体" w:eastAsia="宋体" w:cs="宋体"/>
          <w:b/>
          <w:bCs/>
          <w:spacing w:val="-1"/>
          <w:sz w:val="21"/>
          <w:szCs w:val="21"/>
        </w:rPr>
        <w:t>8.1.31</w:t>
      </w:r>
      <w:r>
        <w:rPr>
          <w:rFonts w:ascii="宋体" w:hAnsi="宋体" w:eastAsia="宋体" w:cs="宋体"/>
          <w:spacing w:val="-1"/>
          <w:sz w:val="21"/>
          <w:szCs w:val="21"/>
        </w:rPr>
        <w:t>氮气灭火系统应具有自动控制、手动控制和机械应急操</w:t>
      </w:r>
    </w:p>
    <w:p>
      <w:pPr>
        <w:spacing w:line="219" w:lineRule="auto"/>
        <w:rPr>
          <w:rFonts w:ascii="宋体" w:hAnsi="宋体" w:eastAsia="宋体" w:cs="宋体"/>
          <w:sz w:val="21"/>
          <w:szCs w:val="21"/>
        </w:rPr>
        <w:sectPr>
          <w:footerReference r:id="rId62" w:type="default"/>
          <w:pgSz w:w="8280" w:h="11850"/>
          <w:pgMar w:top="400" w:right="1207" w:bottom="1340" w:left="1190" w:header="0" w:footer="1067" w:gutter="0"/>
          <w:cols w:space="720" w:num="1"/>
        </w:sectPr>
      </w:pPr>
    </w:p>
    <w:p>
      <w:pPr>
        <w:pStyle w:val="2"/>
        <w:spacing w:line="308" w:lineRule="auto"/>
      </w:pPr>
    </w:p>
    <w:p>
      <w:pPr>
        <w:pStyle w:val="2"/>
        <w:spacing w:line="308" w:lineRule="auto"/>
      </w:pPr>
    </w:p>
    <w:p>
      <w:pPr>
        <w:pStyle w:val="2"/>
        <w:spacing w:line="309" w:lineRule="auto"/>
      </w:pPr>
    </w:p>
    <w:p>
      <w:pPr>
        <w:spacing w:before="68" w:line="220" w:lineRule="auto"/>
        <w:ind w:left="99"/>
        <w:rPr>
          <w:rFonts w:ascii="宋体" w:hAnsi="宋体" w:eastAsia="宋体" w:cs="宋体"/>
          <w:sz w:val="21"/>
          <w:szCs w:val="21"/>
        </w:rPr>
      </w:pPr>
      <w:r>
        <w:rPr>
          <w:rFonts w:ascii="宋体" w:hAnsi="宋体" w:eastAsia="宋体" w:cs="宋体"/>
          <w:spacing w:val="-5"/>
          <w:sz w:val="21"/>
          <w:szCs w:val="21"/>
        </w:rPr>
        <w:t>作三种启动方式。</w:t>
      </w:r>
    </w:p>
    <w:p>
      <w:pPr>
        <w:spacing w:line="16" w:lineRule="exact"/>
      </w:pPr>
    </w:p>
    <w:p>
      <w:pPr>
        <w:spacing w:line="16" w:lineRule="exact"/>
        <w:sectPr>
          <w:footerReference r:id="rId63" w:type="default"/>
          <w:pgSz w:w="8280" w:h="11850"/>
          <w:pgMar w:top="400" w:right="1220" w:bottom="1310" w:left="1110" w:header="0" w:footer="1037" w:gutter="0"/>
          <w:cols w:equalWidth="0" w:num="1">
            <w:col w:w="5949"/>
          </w:cols>
        </w:sectPr>
      </w:pPr>
    </w:p>
    <w:p>
      <w:pPr>
        <w:spacing w:before="42" w:line="221" w:lineRule="auto"/>
        <w:ind w:left="99"/>
        <w:rPr>
          <w:rFonts w:ascii="宋体" w:hAnsi="宋体" w:eastAsia="宋体" w:cs="宋体"/>
          <w:sz w:val="21"/>
          <w:szCs w:val="21"/>
        </w:rPr>
      </w:pPr>
      <w:r>
        <w:rPr>
          <w:rFonts w:ascii="宋体" w:hAnsi="宋体" w:eastAsia="宋体" w:cs="宋体"/>
          <w:spacing w:val="-2"/>
          <w:sz w:val="21"/>
          <w:szCs w:val="21"/>
        </w:rPr>
        <w:t>8.1.32</w:t>
      </w:r>
    </w:p>
    <w:p>
      <w:pPr>
        <w:pStyle w:val="2"/>
        <w:spacing w:line="14" w:lineRule="auto"/>
        <w:rPr>
          <w:sz w:val="2"/>
        </w:rPr>
      </w:pPr>
      <w:r>
        <w:rPr>
          <w:sz w:val="2"/>
          <w:szCs w:val="2"/>
        </w:rPr>
        <w:br w:type="column"/>
      </w:r>
    </w:p>
    <w:p>
      <w:pPr>
        <w:spacing w:before="40" w:line="219" w:lineRule="auto"/>
        <w:jc w:val="right"/>
        <w:rPr>
          <w:rFonts w:ascii="宋体" w:hAnsi="宋体" w:eastAsia="宋体" w:cs="宋体"/>
          <w:sz w:val="21"/>
          <w:szCs w:val="21"/>
        </w:rPr>
      </w:pPr>
      <w:r>
        <w:rPr>
          <w:rFonts w:ascii="宋体" w:hAnsi="宋体" w:eastAsia="宋体" w:cs="宋体"/>
          <w:spacing w:val="-2"/>
          <w:sz w:val="21"/>
          <w:szCs w:val="21"/>
        </w:rPr>
        <w:t>防护区或保护对象应设置火灾自动报警系统</w:t>
      </w:r>
      <w:r>
        <w:rPr>
          <w:rFonts w:ascii="宋体" w:hAnsi="宋体" w:eastAsia="宋体" w:cs="宋体"/>
          <w:spacing w:val="-3"/>
          <w:sz w:val="21"/>
          <w:szCs w:val="21"/>
        </w:rPr>
        <w:t>，设计应符</w:t>
      </w:r>
    </w:p>
    <w:p>
      <w:pPr>
        <w:spacing w:line="219" w:lineRule="auto"/>
        <w:rPr>
          <w:rFonts w:ascii="宋体" w:hAnsi="宋体" w:eastAsia="宋体" w:cs="宋体"/>
          <w:sz w:val="21"/>
          <w:szCs w:val="21"/>
        </w:rPr>
        <w:sectPr>
          <w:type w:val="continuous"/>
          <w:pgSz w:w="8280" w:h="11850"/>
          <w:pgMar w:top="400" w:right="1220" w:bottom="1310" w:left="1110" w:header="0" w:footer="1037" w:gutter="0"/>
          <w:cols w:equalWidth="0" w:num="2">
            <w:col w:w="860" w:space="100"/>
            <w:col w:w="4990"/>
          </w:cols>
        </w:sectPr>
      </w:pPr>
    </w:p>
    <w:p>
      <w:pPr>
        <w:spacing w:before="57" w:line="306" w:lineRule="auto"/>
        <w:ind w:left="99" w:right="45"/>
        <w:rPr>
          <w:rFonts w:ascii="宋体" w:hAnsi="宋体" w:eastAsia="宋体" w:cs="宋体"/>
          <w:sz w:val="17"/>
          <w:szCs w:val="17"/>
        </w:rPr>
      </w:pPr>
      <w:r>
        <w:rPr>
          <w:rFonts w:ascii="宋体" w:hAnsi="宋体" w:eastAsia="宋体" w:cs="宋体"/>
          <w:spacing w:val="6"/>
          <w:sz w:val="21"/>
          <w:szCs w:val="21"/>
        </w:rPr>
        <w:t>合现行国家标准《火灾自动报警系统设计规范》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5011</w:t>
      </w:r>
      <w:r>
        <w:rPr>
          <w:rFonts w:ascii="Times New Roman" w:hAnsi="Times New Roman" w:eastAsia="Times New Roman" w:cs="Times New Roman"/>
          <w:spacing w:val="5"/>
          <w:sz w:val="21"/>
          <w:szCs w:val="21"/>
        </w:rPr>
        <w:t>6</w:t>
      </w:r>
      <w:r>
        <w:rPr>
          <w:rFonts w:ascii="宋体" w:hAnsi="宋体" w:eastAsia="宋体" w:cs="宋体"/>
          <w:spacing w:val="5"/>
          <w:sz w:val="21"/>
          <w:szCs w:val="21"/>
        </w:rPr>
        <w:t>的</w:t>
      </w:r>
      <w:r>
        <w:rPr>
          <w:rFonts w:ascii="宋体" w:hAnsi="宋体" w:eastAsia="宋体" w:cs="宋体"/>
          <w:spacing w:val="-7"/>
          <w:sz w:val="17"/>
          <w:szCs w:val="17"/>
        </w:rPr>
        <w:t>规定。</w:t>
      </w:r>
    </w:p>
    <w:p>
      <w:pPr>
        <w:spacing w:before="3" w:line="269" w:lineRule="auto"/>
        <w:ind w:left="99" w:right="20"/>
        <w:rPr>
          <w:rFonts w:ascii="宋体" w:hAnsi="宋体" w:eastAsia="宋体" w:cs="宋体"/>
          <w:sz w:val="17"/>
          <w:szCs w:val="17"/>
        </w:rPr>
      </w:pPr>
      <w:r>
        <w:rPr>
          <w:rFonts w:ascii="宋体" w:hAnsi="宋体" w:eastAsia="宋体" w:cs="宋体"/>
          <w:spacing w:val="-2"/>
          <w:sz w:val="21"/>
          <w:szCs w:val="21"/>
        </w:rPr>
        <w:t>8.1.33氮气灭火系统的操作与联动控制及供电等设计要求，应</w:t>
      </w:r>
      <w:r>
        <w:rPr>
          <w:rFonts w:ascii="宋体" w:hAnsi="宋体" w:eastAsia="宋体" w:cs="宋体"/>
          <w:sz w:val="21"/>
          <w:szCs w:val="21"/>
        </w:rPr>
        <w:t>符合现行国家标准《火灾自动报警系统设计规范》</w:t>
      </w:r>
      <w:r>
        <w:rPr>
          <w:rFonts w:ascii="Times New Roman" w:hAnsi="Times New Roman" w:eastAsia="Times New Roman" w:cs="Times New Roman"/>
          <w:sz w:val="21"/>
          <w:szCs w:val="21"/>
        </w:rPr>
        <w:t>GB50</w:t>
      </w:r>
      <w:r>
        <w:rPr>
          <w:rFonts w:ascii="Times New Roman" w:hAnsi="Times New Roman" w:eastAsia="Times New Roman" w:cs="Times New Roman"/>
          <w:spacing w:val="-1"/>
          <w:sz w:val="21"/>
          <w:szCs w:val="21"/>
        </w:rPr>
        <w:t>116</w:t>
      </w:r>
      <w:r>
        <w:rPr>
          <w:rFonts w:ascii="宋体" w:hAnsi="宋体" w:eastAsia="宋体" w:cs="宋体"/>
          <w:spacing w:val="-1"/>
          <w:sz w:val="21"/>
          <w:szCs w:val="21"/>
        </w:rPr>
        <w:t>的</w:t>
      </w:r>
      <w:r>
        <w:rPr>
          <w:rFonts w:ascii="宋体" w:hAnsi="宋体" w:eastAsia="宋体" w:cs="宋体"/>
          <w:spacing w:val="-7"/>
          <w:sz w:val="17"/>
          <w:szCs w:val="17"/>
        </w:rPr>
        <w:t>规定。</w:t>
      </w:r>
    </w:p>
    <w:p>
      <w:pPr>
        <w:spacing w:before="96" w:line="246" w:lineRule="auto"/>
        <w:ind w:left="99" w:right="1"/>
        <w:rPr>
          <w:rFonts w:ascii="宋体" w:hAnsi="宋体" w:eastAsia="宋体" w:cs="宋体"/>
          <w:sz w:val="21"/>
          <w:szCs w:val="21"/>
        </w:rPr>
      </w:pPr>
      <w:r>
        <w:rPr>
          <w:rFonts w:ascii="宋体" w:hAnsi="宋体" w:eastAsia="宋体" w:cs="宋体"/>
          <w:spacing w:val="6"/>
          <w:sz w:val="21"/>
          <w:szCs w:val="21"/>
        </w:rPr>
        <w:t>8.1.34防护区应设置通风换气设施，可</w:t>
      </w:r>
      <w:r>
        <w:rPr>
          <w:rFonts w:ascii="宋体" w:hAnsi="宋体" w:eastAsia="宋体" w:cs="宋体"/>
          <w:spacing w:val="5"/>
          <w:sz w:val="21"/>
          <w:szCs w:val="21"/>
        </w:rPr>
        <w:t>采用开启外窗自然通</w:t>
      </w:r>
      <w:r>
        <w:rPr>
          <w:rFonts w:ascii="宋体" w:hAnsi="宋体" w:eastAsia="宋体" w:cs="宋体"/>
          <w:spacing w:val="-12"/>
          <w:sz w:val="21"/>
          <w:szCs w:val="21"/>
        </w:rPr>
        <w:t>风、机械排风装置的方法，排风口应直通室外。</w:t>
      </w:r>
    </w:p>
    <w:p>
      <w:pPr>
        <w:pStyle w:val="2"/>
        <w:spacing w:line="309" w:lineRule="auto"/>
      </w:pPr>
    </w:p>
    <w:p>
      <w:pPr>
        <w:spacing w:before="69" w:line="219" w:lineRule="auto"/>
        <w:ind w:left="2022"/>
        <w:outlineLvl w:val="1"/>
        <w:rPr>
          <w:rFonts w:ascii="宋体" w:hAnsi="宋体" w:eastAsia="宋体" w:cs="宋体"/>
          <w:sz w:val="21"/>
          <w:szCs w:val="21"/>
        </w:rPr>
      </w:pPr>
      <w:bookmarkStart w:id="47" w:name="bookmark30"/>
      <w:bookmarkEnd w:id="47"/>
      <w:r>
        <w:rPr>
          <w:rFonts w:ascii="宋体" w:hAnsi="宋体" w:eastAsia="宋体" w:cs="宋体"/>
          <w:b/>
          <w:bCs/>
          <w:spacing w:val="-3"/>
          <w:sz w:val="21"/>
          <w:szCs w:val="21"/>
        </w:rPr>
        <w:t>8.2探火管灭火装置</w:t>
      </w:r>
    </w:p>
    <w:p>
      <w:pPr>
        <w:pStyle w:val="2"/>
        <w:spacing w:line="303" w:lineRule="auto"/>
      </w:pPr>
    </w:p>
    <w:p>
      <w:pPr>
        <w:spacing w:before="68" w:line="269" w:lineRule="auto"/>
        <w:ind w:left="99" w:right="9"/>
        <w:rPr>
          <w:rFonts w:ascii="宋体" w:hAnsi="宋体" w:eastAsia="宋体" w:cs="宋体"/>
          <w:sz w:val="17"/>
          <w:szCs w:val="17"/>
        </w:rPr>
      </w:pPr>
      <w:r>
        <w:rPr>
          <w:rFonts w:ascii="宋体" w:hAnsi="宋体" w:eastAsia="宋体" w:cs="宋体"/>
          <w:spacing w:val="2"/>
          <w:sz w:val="21"/>
          <w:szCs w:val="21"/>
        </w:rPr>
        <w:t>8.2.1探火管灭火装置适用于大空间中的封闭设备空间或无围</w:t>
      </w:r>
      <w:r>
        <w:rPr>
          <w:rFonts w:ascii="宋体" w:hAnsi="宋体" w:eastAsia="宋体" w:cs="宋体"/>
          <w:spacing w:val="6"/>
          <w:sz w:val="21"/>
          <w:szCs w:val="21"/>
        </w:rPr>
        <w:t>合结构敞开设备的保护，灭火剂可采用二氧化碳、七氟丙烷和</w:t>
      </w:r>
      <w:r>
        <w:rPr>
          <w:rFonts w:ascii="宋体" w:hAnsi="宋体" w:eastAsia="宋体" w:cs="宋体"/>
          <w:spacing w:val="-4"/>
          <w:sz w:val="17"/>
          <w:szCs w:val="17"/>
        </w:rPr>
        <w:t>干粉。</w:t>
      </w:r>
    </w:p>
    <w:p>
      <w:pPr>
        <w:spacing w:before="82" w:line="260" w:lineRule="auto"/>
        <w:ind w:left="99"/>
        <w:rPr>
          <w:rFonts w:ascii="宋体" w:hAnsi="宋体" w:eastAsia="宋体" w:cs="宋体"/>
          <w:sz w:val="21"/>
          <w:szCs w:val="21"/>
        </w:rPr>
      </w:pPr>
      <w:r>
        <w:rPr>
          <w:rFonts w:ascii="宋体" w:hAnsi="宋体" w:eastAsia="宋体" w:cs="宋体"/>
          <w:spacing w:val="3"/>
          <w:sz w:val="21"/>
          <w:szCs w:val="21"/>
        </w:rPr>
        <w:t>8.2.2探火管灭火装置按应用方式可分为小</w:t>
      </w:r>
      <w:r>
        <w:rPr>
          <w:rFonts w:ascii="宋体" w:hAnsi="宋体" w:eastAsia="宋体" w:cs="宋体"/>
          <w:spacing w:val="2"/>
          <w:sz w:val="21"/>
          <w:szCs w:val="21"/>
        </w:rPr>
        <w:t>型封闭空间全淹没</w:t>
      </w:r>
      <w:r>
        <w:rPr>
          <w:rFonts w:ascii="宋体" w:hAnsi="宋体" w:eastAsia="宋体" w:cs="宋体"/>
          <w:spacing w:val="-2"/>
          <w:sz w:val="21"/>
          <w:szCs w:val="21"/>
        </w:rPr>
        <w:t>和无围合结构敞开设备的局部空间保护两种；按装置型式可分为</w:t>
      </w:r>
      <w:r>
        <w:rPr>
          <w:rFonts w:ascii="宋体" w:hAnsi="宋体" w:eastAsia="宋体" w:cs="宋体"/>
          <w:spacing w:val="-6"/>
          <w:sz w:val="21"/>
          <w:szCs w:val="21"/>
        </w:rPr>
        <w:t>直接式和间接式两种，干粉探火管灭火装置仅适用于间接式。</w:t>
      </w:r>
    </w:p>
    <w:p>
      <w:pPr>
        <w:spacing w:before="60" w:line="251" w:lineRule="auto"/>
        <w:ind w:left="99" w:right="21"/>
        <w:rPr>
          <w:rFonts w:ascii="宋体" w:hAnsi="宋体" w:eastAsia="宋体" w:cs="宋体"/>
          <w:sz w:val="21"/>
          <w:szCs w:val="21"/>
        </w:rPr>
      </w:pPr>
      <w:r>
        <w:rPr>
          <w:rFonts w:ascii="宋体" w:hAnsi="宋体" w:eastAsia="宋体" w:cs="宋体"/>
          <w:spacing w:val="2"/>
          <w:sz w:val="21"/>
          <w:szCs w:val="21"/>
        </w:rPr>
        <w:t>8.2.3探火管灭火装置的型式和灭火</w:t>
      </w:r>
      <w:r>
        <w:rPr>
          <w:rFonts w:ascii="宋体" w:hAnsi="宋体" w:eastAsia="宋体" w:cs="宋体"/>
          <w:spacing w:val="1"/>
          <w:sz w:val="21"/>
          <w:szCs w:val="21"/>
        </w:rPr>
        <w:t>剂类型应与被保护对象火</w:t>
      </w:r>
      <w:r>
        <w:rPr>
          <w:rFonts w:ascii="宋体" w:hAnsi="宋体" w:eastAsia="宋体" w:cs="宋体"/>
          <w:spacing w:val="-6"/>
          <w:sz w:val="21"/>
          <w:szCs w:val="21"/>
        </w:rPr>
        <w:t>灾特点相适应。</w:t>
      </w:r>
    </w:p>
    <w:p>
      <w:pPr>
        <w:spacing w:before="71" w:line="219" w:lineRule="auto"/>
        <w:ind w:left="99"/>
        <w:rPr>
          <w:rFonts w:ascii="宋体" w:hAnsi="宋体" w:eastAsia="宋体" w:cs="宋体"/>
          <w:sz w:val="21"/>
          <w:szCs w:val="21"/>
        </w:rPr>
      </w:pPr>
      <w:r>
        <w:rPr>
          <w:rFonts w:ascii="宋体" w:hAnsi="宋体" w:eastAsia="宋体" w:cs="宋体"/>
          <w:spacing w:val="-6"/>
          <w:sz w:val="21"/>
          <w:szCs w:val="21"/>
        </w:rPr>
        <w:t>8.2.4全淹没应用方式的防护区，应符合下列规定：</w:t>
      </w:r>
    </w:p>
    <w:p>
      <w:pPr>
        <w:spacing w:before="51" w:line="251" w:lineRule="auto"/>
        <w:ind w:left="99" w:right="13" w:firstLine="409"/>
        <w:rPr>
          <w:rFonts w:ascii="宋体" w:hAnsi="宋体" w:eastAsia="宋体" w:cs="宋体"/>
          <w:sz w:val="21"/>
          <w:szCs w:val="21"/>
        </w:rPr>
      </w:pPr>
      <w:r>
        <w:rPr>
          <w:rFonts w:ascii="宋体" w:hAnsi="宋体" w:eastAsia="宋体" w:cs="宋体"/>
          <w:sz w:val="21"/>
          <w:szCs w:val="21"/>
        </w:rPr>
        <w:t>1采用直接式七氟丙烷探火管灭火装置时，一个防护区的</w:t>
      </w:r>
      <w:r>
        <w:rPr>
          <w:rFonts w:ascii="宋体" w:hAnsi="宋体" w:eastAsia="宋体" w:cs="宋体"/>
          <w:spacing w:val="7"/>
          <w:sz w:val="21"/>
          <w:szCs w:val="21"/>
        </w:rPr>
        <w:t>体积不应大于6</w:t>
      </w:r>
      <w:r>
        <w:rPr>
          <w:rFonts w:ascii="Times New Roman" w:hAnsi="Times New Roman" w:eastAsia="Times New Roman" w:cs="Times New Roman"/>
          <w:spacing w:val="7"/>
          <w:sz w:val="21"/>
          <w:szCs w:val="21"/>
        </w:rPr>
        <w:t>m³</w:t>
      </w:r>
      <w:r>
        <w:rPr>
          <w:rFonts w:ascii="宋体" w:hAnsi="宋体" w:eastAsia="宋体" w:cs="宋体"/>
          <w:spacing w:val="7"/>
          <w:sz w:val="21"/>
          <w:szCs w:val="21"/>
        </w:rPr>
        <w:t>。</w:t>
      </w:r>
    </w:p>
    <w:p>
      <w:pPr>
        <w:spacing w:before="57" w:line="256" w:lineRule="auto"/>
        <w:ind w:left="99" w:right="13" w:firstLine="409"/>
        <w:rPr>
          <w:rFonts w:ascii="宋体" w:hAnsi="宋体" w:eastAsia="宋体" w:cs="宋体"/>
          <w:sz w:val="21"/>
          <w:szCs w:val="21"/>
        </w:rPr>
      </w:pPr>
      <w:r>
        <w:rPr>
          <w:rFonts w:ascii="宋体" w:hAnsi="宋体" w:eastAsia="宋体" w:cs="宋体"/>
          <w:sz w:val="21"/>
          <w:szCs w:val="21"/>
        </w:rPr>
        <w:t>2采用直接式二氧化碳探火管灭火装置时，一个防护区的</w:t>
      </w:r>
      <w:r>
        <w:rPr>
          <w:rFonts w:ascii="宋体" w:hAnsi="宋体" w:eastAsia="宋体" w:cs="宋体"/>
          <w:spacing w:val="5"/>
          <w:sz w:val="21"/>
          <w:szCs w:val="21"/>
        </w:rPr>
        <w:t>体积不应大于3</w:t>
      </w:r>
      <w:r>
        <w:rPr>
          <w:rFonts w:ascii="Times New Roman" w:hAnsi="Times New Roman" w:eastAsia="Times New Roman" w:cs="Times New Roman"/>
          <w:spacing w:val="5"/>
          <w:sz w:val="21"/>
          <w:szCs w:val="21"/>
        </w:rPr>
        <w:t>m³</w:t>
      </w:r>
      <w:r>
        <w:rPr>
          <w:rFonts w:ascii="宋体" w:hAnsi="宋体" w:eastAsia="宋体" w:cs="宋体"/>
          <w:spacing w:val="5"/>
          <w:sz w:val="21"/>
          <w:szCs w:val="21"/>
        </w:rPr>
        <w:t>。</w:t>
      </w:r>
    </w:p>
    <w:p>
      <w:pPr>
        <w:spacing w:before="69" w:line="251" w:lineRule="auto"/>
        <w:ind w:left="99" w:right="20" w:firstLine="409"/>
        <w:rPr>
          <w:rFonts w:ascii="宋体" w:hAnsi="宋体" w:eastAsia="宋体" w:cs="宋体"/>
          <w:sz w:val="21"/>
          <w:szCs w:val="21"/>
        </w:rPr>
      </w:pPr>
      <w:r>
        <w:rPr>
          <w:rFonts w:ascii="宋体" w:hAnsi="宋体" w:eastAsia="宋体" w:cs="宋体"/>
          <w:sz w:val="21"/>
          <w:szCs w:val="21"/>
        </w:rPr>
        <w:t>3采用间接式探火管灭火装置时，一个防护区的体积不应</w:t>
      </w:r>
      <w:r>
        <w:rPr>
          <w:rFonts w:ascii="宋体" w:hAnsi="宋体" w:eastAsia="宋体" w:cs="宋体"/>
          <w:spacing w:val="12"/>
          <w:sz w:val="21"/>
          <w:szCs w:val="21"/>
        </w:rPr>
        <w:t>大于60</w:t>
      </w:r>
      <w:r>
        <w:rPr>
          <w:rFonts w:ascii="Times New Roman" w:hAnsi="Times New Roman" w:eastAsia="Times New Roman" w:cs="Times New Roman"/>
          <w:spacing w:val="12"/>
          <w:sz w:val="21"/>
          <w:szCs w:val="21"/>
        </w:rPr>
        <w:t>m³</w:t>
      </w:r>
      <w:r>
        <w:rPr>
          <w:rFonts w:ascii="宋体" w:hAnsi="宋体" w:eastAsia="宋体" w:cs="宋体"/>
          <w:spacing w:val="12"/>
          <w:sz w:val="21"/>
          <w:szCs w:val="21"/>
        </w:rPr>
        <w:t>。</w:t>
      </w:r>
    </w:p>
    <w:p>
      <w:pPr>
        <w:spacing w:before="40" w:line="237" w:lineRule="auto"/>
        <w:ind w:left="99" w:right="18" w:firstLine="409"/>
        <w:rPr>
          <w:rFonts w:ascii="宋体" w:hAnsi="宋体" w:eastAsia="宋体" w:cs="宋体"/>
          <w:sz w:val="21"/>
          <w:szCs w:val="21"/>
        </w:rPr>
      </w:pPr>
      <w:r>
        <w:rPr>
          <w:rFonts w:ascii="宋体" w:hAnsi="宋体" w:eastAsia="宋体" w:cs="宋体"/>
          <w:spacing w:val="2"/>
          <w:sz w:val="21"/>
          <w:szCs w:val="21"/>
        </w:rPr>
        <w:t>4防护区应有实际的底面，且不能自动关闭的开口面积不</w:t>
      </w:r>
      <w:r>
        <w:rPr>
          <w:rFonts w:ascii="宋体" w:hAnsi="宋体" w:eastAsia="宋体" w:cs="宋体"/>
          <w:spacing w:val="9"/>
          <w:sz w:val="21"/>
          <w:szCs w:val="21"/>
        </w:rPr>
        <w:t>应大于总内表面积的1%。</w:t>
      </w:r>
    </w:p>
    <w:p>
      <w:pPr>
        <w:spacing w:line="237" w:lineRule="auto"/>
        <w:rPr>
          <w:rFonts w:ascii="宋体" w:hAnsi="宋体" w:eastAsia="宋体" w:cs="宋体"/>
          <w:sz w:val="21"/>
          <w:szCs w:val="21"/>
        </w:rPr>
        <w:sectPr>
          <w:type w:val="continuous"/>
          <w:pgSz w:w="8280" w:h="11850"/>
          <w:pgMar w:top="400" w:right="1220" w:bottom="1310" w:left="1110" w:header="0" w:footer="1037" w:gutter="0"/>
          <w:cols w:equalWidth="0" w:num="1">
            <w:col w:w="5949"/>
          </w:cols>
        </w:sectPr>
      </w:pPr>
    </w:p>
    <w:p>
      <w:pPr>
        <w:pStyle w:val="2"/>
        <w:spacing w:line="294" w:lineRule="auto"/>
      </w:pPr>
    </w:p>
    <w:p>
      <w:pPr>
        <w:pStyle w:val="2"/>
        <w:spacing w:line="294" w:lineRule="auto"/>
      </w:pPr>
    </w:p>
    <w:p>
      <w:pPr>
        <w:pStyle w:val="2"/>
        <w:spacing w:line="295" w:lineRule="auto"/>
      </w:pPr>
    </w:p>
    <w:p>
      <w:pPr>
        <w:spacing w:before="68" w:line="276" w:lineRule="auto"/>
        <w:ind w:right="95" w:firstLine="3"/>
        <w:rPr>
          <w:rFonts w:ascii="宋体" w:hAnsi="宋体" w:eastAsia="宋体" w:cs="宋体"/>
          <w:sz w:val="21"/>
          <w:szCs w:val="21"/>
        </w:rPr>
      </w:pPr>
      <w:bookmarkStart w:id="48" w:name="bookmark93"/>
      <w:bookmarkEnd w:id="48"/>
      <w:r>
        <w:rPr>
          <w:rFonts w:ascii="宋体" w:hAnsi="宋体" w:eastAsia="宋体" w:cs="宋体"/>
          <w:b/>
          <w:bCs/>
          <w:spacing w:val="2"/>
          <w:sz w:val="21"/>
          <w:szCs w:val="21"/>
        </w:rPr>
        <w:t>8.2.5</w:t>
      </w:r>
      <w:r>
        <w:rPr>
          <w:rFonts w:ascii="宋体" w:hAnsi="宋体" w:eastAsia="宋体" w:cs="宋体"/>
          <w:spacing w:val="2"/>
          <w:sz w:val="21"/>
          <w:szCs w:val="21"/>
        </w:rPr>
        <w:t>无围合结构敞开局部空间应用方</w:t>
      </w:r>
      <w:r>
        <w:rPr>
          <w:rFonts w:ascii="宋体" w:hAnsi="宋体" w:eastAsia="宋体" w:cs="宋体"/>
          <w:spacing w:val="1"/>
          <w:sz w:val="21"/>
          <w:szCs w:val="21"/>
        </w:rPr>
        <w:t>式的保护对象，应符合</w:t>
      </w:r>
      <w:r>
        <w:rPr>
          <w:rFonts w:ascii="宋体" w:hAnsi="宋体" w:eastAsia="宋体" w:cs="宋体"/>
          <w:spacing w:val="-6"/>
          <w:sz w:val="21"/>
          <w:szCs w:val="21"/>
        </w:rPr>
        <w:t>下列规定：</w:t>
      </w:r>
    </w:p>
    <w:p>
      <w:pPr>
        <w:spacing w:before="1" w:line="259" w:lineRule="auto"/>
        <w:ind w:right="96" w:firstLine="422"/>
        <w:rPr>
          <w:rFonts w:ascii="宋体" w:hAnsi="宋体" w:eastAsia="宋体" w:cs="宋体"/>
          <w:sz w:val="21"/>
          <w:szCs w:val="21"/>
        </w:rPr>
      </w:pPr>
      <w:r>
        <w:rPr>
          <w:rFonts w:ascii="宋体" w:hAnsi="宋体" w:eastAsia="宋体" w:cs="宋体"/>
          <w:b/>
          <w:bCs/>
          <w:spacing w:val="5"/>
          <w:sz w:val="21"/>
          <w:szCs w:val="21"/>
        </w:rPr>
        <w:t>1</w:t>
      </w:r>
      <w:r>
        <w:rPr>
          <w:rFonts w:ascii="宋体" w:hAnsi="宋体" w:eastAsia="宋体" w:cs="宋体"/>
          <w:spacing w:val="5"/>
          <w:sz w:val="21"/>
          <w:szCs w:val="21"/>
        </w:rPr>
        <w:t>保护对象周围的空气流道速度不应大于2m/s,必要时应</w:t>
      </w:r>
      <w:r>
        <w:rPr>
          <w:rFonts w:ascii="宋体" w:hAnsi="宋体" w:eastAsia="宋体" w:cs="宋体"/>
          <w:spacing w:val="-5"/>
          <w:sz w:val="21"/>
          <w:szCs w:val="21"/>
        </w:rPr>
        <w:t>采取挡风措施。</w:t>
      </w:r>
    </w:p>
    <w:p>
      <w:pPr>
        <w:spacing w:before="60" w:line="251" w:lineRule="auto"/>
        <w:ind w:right="96" w:firstLine="422"/>
        <w:rPr>
          <w:rFonts w:ascii="宋体" w:hAnsi="宋体" w:eastAsia="宋体" w:cs="宋体"/>
          <w:sz w:val="21"/>
          <w:szCs w:val="21"/>
        </w:rPr>
      </w:pPr>
      <w:r>
        <w:rPr>
          <w:rFonts w:ascii="宋体" w:hAnsi="宋体" w:eastAsia="宋体" w:cs="宋体"/>
          <w:b/>
          <w:bCs/>
          <w:spacing w:val="10"/>
          <w:sz w:val="21"/>
          <w:szCs w:val="21"/>
        </w:rPr>
        <w:t>2</w:t>
      </w:r>
      <w:r>
        <w:rPr>
          <w:rFonts w:ascii="宋体" w:hAnsi="宋体" w:eastAsia="宋体" w:cs="宋体"/>
          <w:spacing w:val="10"/>
          <w:sz w:val="21"/>
          <w:szCs w:val="21"/>
        </w:rPr>
        <w:t>在喷头和保护对象之间，喷头喷射角范围内不应有遮</w:t>
      </w:r>
      <w:r>
        <w:rPr>
          <w:rFonts w:ascii="宋体" w:hAnsi="宋体" w:eastAsia="宋体" w:cs="宋体"/>
          <w:spacing w:val="-2"/>
          <w:sz w:val="21"/>
          <w:szCs w:val="21"/>
        </w:rPr>
        <w:t>挡物。</w:t>
      </w:r>
    </w:p>
    <w:p>
      <w:pPr>
        <w:spacing w:before="49" w:line="253" w:lineRule="auto"/>
        <w:ind w:right="97" w:firstLine="422"/>
        <w:rPr>
          <w:rFonts w:ascii="宋体" w:hAnsi="宋体" w:eastAsia="宋体" w:cs="宋体"/>
          <w:sz w:val="21"/>
          <w:szCs w:val="21"/>
        </w:rPr>
      </w:pPr>
      <w:r>
        <w:rPr>
          <w:rFonts w:ascii="宋体" w:hAnsi="宋体" w:eastAsia="宋体" w:cs="宋体"/>
          <w:b/>
          <w:bCs/>
          <w:spacing w:val="1"/>
          <w:sz w:val="21"/>
          <w:szCs w:val="21"/>
        </w:rPr>
        <w:t>3</w:t>
      </w:r>
      <w:r>
        <w:rPr>
          <w:rFonts w:ascii="宋体" w:hAnsi="宋体" w:eastAsia="宋体" w:cs="宋体"/>
          <w:spacing w:val="1"/>
          <w:sz w:val="21"/>
          <w:szCs w:val="21"/>
        </w:rPr>
        <w:t>当保护对象为可燃液体时，液面至容器缘口的距离不得</w:t>
      </w:r>
      <w:r>
        <w:rPr>
          <w:rFonts w:ascii="宋体" w:hAnsi="宋体" w:eastAsia="宋体" w:cs="宋体"/>
          <w:spacing w:val="-6"/>
          <w:sz w:val="21"/>
          <w:szCs w:val="21"/>
        </w:rPr>
        <w:t>小于150</w:t>
      </w:r>
      <w:r>
        <w:rPr>
          <w:rFonts w:ascii="Times New Roman" w:hAnsi="Times New Roman" w:eastAsia="Times New Roman" w:cs="Times New Roman"/>
          <w:spacing w:val="-6"/>
          <w:sz w:val="21"/>
          <w:szCs w:val="21"/>
        </w:rPr>
        <w:t>mm</w:t>
      </w:r>
      <w:r>
        <w:rPr>
          <w:rFonts w:ascii="宋体" w:hAnsi="宋体" w:eastAsia="宋体" w:cs="宋体"/>
          <w:spacing w:val="-6"/>
          <w:sz w:val="21"/>
          <w:szCs w:val="21"/>
        </w:rPr>
        <w:t>。</w:t>
      </w:r>
    </w:p>
    <w:p>
      <w:pPr>
        <w:spacing w:before="64" w:line="260" w:lineRule="auto"/>
        <w:ind w:right="89"/>
        <w:rPr>
          <w:rFonts w:ascii="宋体" w:hAnsi="宋体" w:eastAsia="宋体" w:cs="宋体"/>
          <w:sz w:val="21"/>
          <w:szCs w:val="21"/>
        </w:rPr>
      </w:pPr>
      <w:r>
        <w:rPr>
          <w:rFonts w:ascii="宋体" w:hAnsi="宋体" w:eastAsia="宋体" w:cs="宋体"/>
          <w:spacing w:val="9"/>
          <w:sz w:val="21"/>
          <w:szCs w:val="21"/>
        </w:rPr>
        <w:t>8.2.6一套直接式探火管灭火装置所保护的防护区</w:t>
      </w:r>
      <w:r>
        <w:rPr>
          <w:rFonts w:ascii="宋体" w:hAnsi="宋体" w:eastAsia="宋体" w:cs="宋体"/>
          <w:spacing w:val="8"/>
          <w:sz w:val="21"/>
          <w:szCs w:val="21"/>
        </w:rPr>
        <w:t>不宜超过</w:t>
      </w:r>
      <w:r>
        <w:rPr>
          <w:rFonts w:ascii="宋体" w:hAnsi="宋体" w:eastAsia="宋体" w:cs="宋体"/>
          <w:spacing w:val="-6"/>
          <w:sz w:val="21"/>
          <w:szCs w:val="21"/>
        </w:rPr>
        <w:t>6个，灭火剂设计用量应按最大的防护区确定；一个防护区设置的</w:t>
      </w:r>
      <w:r>
        <w:rPr>
          <w:rFonts w:ascii="宋体" w:hAnsi="宋体" w:eastAsia="宋体" w:cs="宋体"/>
          <w:spacing w:val="2"/>
          <w:sz w:val="21"/>
          <w:szCs w:val="21"/>
        </w:rPr>
        <w:t>间接式探火管灭火装置不应超过4套，且必须</w:t>
      </w:r>
      <w:r>
        <w:rPr>
          <w:rFonts w:ascii="宋体" w:hAnsi="宋体" w:eastAsia="宋体" w:cs="宋体"/>
          <w:spacing w:val="1"/>
          <w:sz w:val="21"/>
          <w:szCs w:val="21"/>
        </w:rPr>
        <w:t>能同时启动，其动</w:t>
      </w:r>
      <w:r>
        <w:rPr>
          <w:rFonts w:ascii="宋体" w:hAnsi="宋体" w:eastAsia="宋体" w:cs="宋体"/>
          <w:spacing w:val="5"/>
          <w:sz w:val="21"/>
          <w:szCs w:val="21"/>
        </w:rPr>
        <w:t>作响应时差不应超过2</w:t>
      </w:r>
      <w:r>
        <w:rPr>
          <w:rFonts w:ascii="Times New Roman" w:hAnsi="Times New Roman" w:eastAsia="Times New Roman" w:cs="Times New Roman"/>
          <w:spacing w:val="5"/>
          <w:sz w:val="21"/>
          <w:szCs w:val="21"/>
        </w:rPr>
        <w:t>s</w:t>
      </w:r>
      <w:r>
        <w:rPr>
          <w:rFonts w:ascii="宋体" w:hAnsi="宋体" w:eastAsia="宋体" w:cs="宋体"/>
          <w:spacing w:val="5"/>
          <w:sz w:val="21"/>
          <w:szCs w:val="21"/>
        </w:rPr>
        <w:t>。</w:t>
      </w:r>
    </w:p>
    <w:p>
      <w:pPr>
        <w:spacing w:before="67" w:line="251" w:lineRule="auto"/>
        <w:ind w:right="73"/>
        <w:rPr>
          <w:rFonts w:ascii="宋体" w:hAnsi="宋体" w:eastAsia="宋体" w:cs="宋体"/>
          <w:sz w:val="21"/>
          <w:szCs w:val="21"/>
        </w:rPr>
      </w:pPr>
      <w:r>
        <w:rPr>
          <w:rFonts w:ascii="Times New Roman" w:hAnsi="Times New Roman" w:eastAsia="Times New Roman" w:cs="Times New Roman"/>
          <w:b/>
          <w:bCs/>
          <w:spacing w:val="2"/>
          <w:sz w:val="21"/>
          <w:szCs w:val="21"/>
        </w:rPr>
        <w:t>8.2.7</w:t>
      </w:r>
      <w:r>
        <w:rPr>
          <w:rFonts w:ascii="宋体" w:hAnsi="宋体" w:eastAsia="宋体" w:cs="宋体"/>
          <w:spacing w:val="2"/>
          <w:sz w:val="21"/>
          <w:szCs w:val="21"/>
        </w:rPr>
        <w:t>无围合结构敞开局部空间应用方式应采用间接式探火管</w:t>
      </w:r>
      <w:r>
        <w:rPr>
          <w:rFonts w:ascii="宋体" w:hAnsi="宋体" w:eastAsia="宋体" w:cs="宋体"/>
          <w:spacing w:val="-7"/>
          <w:sz w:val="21"/>
          <w:szCs w:val="21"/>
        </w:rPr>
        <w:t>灭火装置。</w:t>
      </w:r>
    </w:p>
    <w:p>
      <w:pPr>
        <w:spacing w:before="52" w:line="255" w:lineRule="auto"/>
        <w:ind w:right="98"/>
        <w:rPr>
          <w:rFonts w:ascii="宋体" w:hAnsi="宋体" w:eastAsia="宋体" w:cs="宋体"/>
          <w:sz w:val="21"/>
          <w:szCs w:val="21"/>
        </w:rPr>
      </w:pPr>
      <w:r>
        <w:rPr>
          <w:rFonts w:ascii="Times New Roman" w:hAnsi="Times New Roman" w:eastAsia="Times New Roman" w:cs="Times New Roman"/>
          <w:b/>
          <w:bCs/>
          <w:spacing w:val="3"/>
          <w:sz w:val="21"/>
          <w:szCs w:val="21"/>
        </w:rPr>
        <w:t>8.2.8</w:t>
      </w:r>
      <w:r>
        <w:rPr>
          <w:rFonts w:ascii="宋体" w:hAnsi="宋体" w:eastAsia="宋体" w:cs="宋体"/>
          <w:spacing w:val="3"/>
          <w:sz w:val="21"/>
          <w:szCs w:val="21"/>
        </w:rPr>
        <w:t>灭火装置48</w:t>
      </w:r>
      <w:r>
        <w:rPr>
          <w:rFonts w:ascii="Times New Roman" w:hAnsi="Times New Roman" w:eastAsia="Times New Roman" w:cs="Times New Roman"/>
          <w:spacing w:val="3"/>
          <w:sz w:val="21"/>
          <w:szCs w:val="21"/>
        </w:rPr>
        <w:t>h</w:t>
      </w:r>
      <w:r>
        <w:rPr>
          <w:rFonts w:ascii="宋体" w:hAnsi="宋体" w:eastAsia="宋体" w:cs="宋体"/>
          <w:spacing w:val="3"/>
          <w:sz w:val="21"/>
          <w:szCs w:val="21"/>
        </w:rPr>
        <w:t>内不能重新恢复工作的，应按最大一个防</w:t>
      </w:r>
      <w:r>
        <w:rPr>
          <w:rFonts w:ascii="宋体" w:hAnsi="宋体" w:eastAsia="宋体" w:cs="宋体"/>
          <w:spacing w:val="-5"/>
          <w:sz w:val="21"/>
          <w:szCs w:val="21"/>
        </w:rPr>
        <w:t>护区设置备用。</w:t>
      </w:r>
    </w:p>
    <w:p>
      <w:pPr>
        <w:spacing w:before="49" w:line="260" w:lineRule="auto"/>
        <w:rPr>
          <w:rFonts w:ascii="宋体" w:hAnsi="宋体" w:eastAsia="宋体" w:cs="宋体"/>
          <w:sz w:val="21"/>
          <w:szCs w:val="21"/>
        </w:rPr>
      </w:pPr>
      <w:r>
        <w:rPr>
          <w:rFonts w:ascii="宋体" w:hAnsi="宋体" w:eastAsia="宋体" w:cs="宋体"/>
          <w:spacing w:val="2"/>
          <w:sz w:val="21"/>
          <w:szCs w:val="21"/>
        </w:rPr>
        <w:t>8.2.9全淹没灭火方式灭火剂设计用量应按现行国家标准《气</w:t>
      </w:r>
      <w:r>
        <w:rPr>
          <w:rFonts w:ascii="宋体" w:hAnsi="宋体" w:eastAsia="宋体" w:cs="宋体"/>
          <w:spacing w:val="-6"/>
          <w:sz w:val="21"/>
          <w:szCs w:val="21"/>
        </w:rPr>
        <w:t>体灭火系统设计规范》</w:t>
      </w:r>
      <w:r>
        <w:rPr>
          <w:rFonts w:ascii="Times New Roman" w:hAnsi="Times New Roman" w:eastAsia="Times New Roman" w:cs="Times New Roman"/>
          <w:spacing w:val="-6"/>
          <w:sz w:val="21"/>
          <w:szCs w:val="21"/>
        </w:rPr>
        <w:t>GB50370</w:t>
      </w:r>
      <w:r>
        <w:rPr>
          <w:rFonts w:ascii="宋体" w:hAnsi="宋体" w:eastAsia="宋体" w:cs="宋体"/>
          <w:spacing w:val="-6"/>
          <w:sz w:val="21"/>
          <w:szCs w:val="21"/>
        </w:rPr>
        <w:t>、《二氧化碳灭</w:t>
      </w:r>
      <w:r>
        <w:rPr>
          <w:rFonts w:ascii="宋体" w:hAnsi="宋体" w:eastAsia="宋体" w:cs="宋体"/>
          <w:spacing w:val="-7"/>
          <w:sz w:val="21"/>
          <w:szCs w:val="21"/>
        </w:rPr>
        <w:t>火系统设计规范》</w:t>
      </w:r>
      <w:r>
        <w:rPr>
          <w:rFonts w:ascii="Times New Roman" w:hAnsi="Times New Roman" w:eastAsia="Times New Roman" w:cs="Times New Roman"/>
          <w:spacing w:val="-7"/>
          <w:sz w:val="21"/>
          <w:szCs w:val="21"/>
        </w:rPr>
        <w:t>GB50193</w:t>
      </w:r>
      <w:r>
        <w:rPr>
          <w:rFonts w:ascii="宋体" w:hAnsi="宋体" w:eastAsia="宋体" w:cs="宋体"/>
          <w:spacing w:val="-7"/>
          <w:sz w:val="21"/>
          <w:szCs w:val="21"/>
        </w:rPr>
        <w:t>和《干粉灭火系统设计规范</w:t>
      </w:r>
      <w:r>
        <w:rPr>
          <w:rFonts w:ascii="宋体" w:hAnsi="宋体" w:eastAsia="宋体" w:cs="宋体"/>
          <w:spacing w:val="-8"/>
          <w:sz w:val="21"/>
          <w:szCs w:val="21"/>
        </w:rPr>
        <w:t>》</w:t>
      </w:r>
      <w:r>
        <w:rPr>
          <w:rFonts w:ascii="Times New Roman" w:hAnsi="Times New Roman" w:eastAsia="Times New Roman" w:cs="Times New Roman"/>
          <w:spacing w:val="-8"/>
          <w:sz w:val="21"/>
          <w:szCs w:val="21"/>
        </w:rPr>
        <w:t>GB50347</w:t>
      </w:r>
      <w:r>
        <w:rPr>
          <w:rFonts w:ascii="宋体" w:hAnsi="宋体" w:eastAsia="宋体" w:cs="宋体"/>
          <w:spacing w:val="-8"/>
          <w:sz w:val="21"/>
          <w:szCs w:val="21"/>
        </w:rPr>
        <w:t>的规定执行。</w:t>
      </w:r>
    </w:p>
    <w:p>
      <w:pPr>
        <w:spacing w:before="61" w:line="266" w:lineRule="auto"/>
        <w:ind w:right="20"/>
        <w:rPr>
          <w:rFonts w:ascii="宋体" w:hAnsi="宋体" w:eastAsia="宋体" w:cs="宋体"/>
          <w:sz w:val="21"/>
          <w:szCs w:val="21"/>
        </w:rPr>
      </w:pPr>
      <w:r>
        <w:rPr>
          <w:rFonts w:ascii="宋体" w:hAnsi="宋体" w:eastAsia="宋体" w:cs="宋体"/>
          <w:spacing w:val="6"/>
          <w:sz w:val="21"/>
          <w:szCs w:val="21"/>
        </w:rPr>
        <w:t>8.2.10无围合结构敞开局部空间应用灭火方式灭火剂设计用</w:t>
      </w:r>
      <w:r>
        <w:rPr>
          <w:rFonts w:ascii="宋体" w:hAnsi="宋体" w:eastAsia="宋体" w:cs="宋体"/>
          <w:spacing w:val="5"/>
          <w:sz w:val="21"/>
          <w:szCs w:val="21"/>
        </w:rPr>
        <w:t>量可采用面积法或体积法确定。当保护对象的着火部位是平面</w:t>
      </w:r>
      <w:r>
        <w:rPr>
          <w:rFonts w:ascii="宋体" w:hAnsi="宋体" w:eastAsia="宋体" w:cs="宋体"/>
          <w:spacing w:val="-7"/>
          <w:sz w:val="21"/>
          <w:szCs w:val="21"/>
        </w:rPr>
        <w:t>时，宜采用面积法；当着火部位是不规则物体时，应采用体积法。</w:t>
      </w:r>
      <w:r>
        <w:rPr>
          <w:rFonts w:ascii="宋体" w:hAnsi="宋体" w:eastAsia="宋体" w:cs="宋体"/>
          <w:spacing w:val="-5"/>
          <w:sz w:val="21"/>
          <w:szCs w:val="21"/>
        </w:rPr>
        <w:t>设计计算应符合下列规定：</w:t>
      </w:r>
    </w:p>
    <w:p>
      <w:pPr>
        <w:spacing w:before="51" w:line="246" w:lineRule="auto"/>
        <w:ind w:right="93" w:firstLine="419"/>
        <w:rPr>
          <w:rFonts w:ascii="宋体" w:hAnsi="宋体" w:eastAsia="宋体" w:cs="宋体"/>
          <w:sz w:val="21"/>
          <w:szCs w:val="21"/>
        </w:rPr>
      </w:pPr>
      <w:r>
        <w:rPr>
          <w:rFonts w:ascii="宋体" w:hAnsi="宋体" w:eastAsia="宋体" w:cs="宋体"/>
          <w:spacing w:val="1"/>
          <w:sz w:val="21"/>
          <w:szCs w:val="21"/>
        </w:rPr>
        <w:t>1采用面积法设计时，喷头喷射范围应覆盖保护对象全部</w:t>
      </w:r>
      <w:r>
        <w:rPr>
          <w:rFonts w:ascii="宋体" w:hAnsi="宋体" w:eastAsia="宋体" w:cs="宋体"/>
          <w:spacing w:val="-6"/>
          <w:sz w:val="21"/>
          <w:szCs w:val="21"/>
        </w:rPr>
        <w:t>计算面积，喷头喷射范围应按照产品参数(质量证明文件)确定。</w:t>
      </w:r>
    </w:p>
    <w:p>
      <w:pPr>
        <w:spacing w:before="58" w:line="255" w:lineRule="auto"/>
        <w:ind w:right="88" w:firstLine="419"/>
        <w:rPr>
          <w:rFonts w:ascii="宋体" w:hAnsi="宋体" w:eastAsia="宋体" w:cs="宋体"/>
          <w:sz w:val="21"/>
          <w:szCs w:val="21"/>
        </w:rPr>
      </w:pPr>
      <w:r>
        <w:rPr>
          <w:rFonts w:ascii="宋体" w:hAnsi="宋体" w:eastAsia="宋体" w:cs="宋体"/>
          <w:spacing w:val="2"/>
          <w:sz w:val="21"/>
          <w:szCs w:val="21"/>
        </w:rPr>
        <w:t>2采用体积法设计时，保护对象的计算体积应采</w:t>
      </w:r>
      <w:r>
        <w:rPr>
          <w:rFonts w:ascii="宋体" w:hAnsi="宋体" w:eastAsia="宋体" w:cs="宋体"/>
          <w:spacing w:val="1"/>
          <w:sz w:val="21"/>
          <w:szCs w:val="21"/>
        </w:rPr>
        <w:t>用假定的</w:t>
      </w:r>
      <w:r>
        <w:rPr>
          <w:rFonts w:ascii="宋体" w:hAnsi="宋体" w:eastAsia="宋体" w:cs="宋体"/>
          <w:spacing w:val="-3"/>
          <w:sz w:val="21"/>
          <w:szCs w:val="21"/>
        </w:rPr>
        <w:t>封闭罩的体积，封闭罩的底采用保护对象的实际底面，封闭罩的</w:t>
      </w:r>
      <w:r>
        <w:rPr>
          <w:rFonts w:ascii="宋体" w:hAnsi="宋体" w:eastAsia="宋体" w:cs="宋体"/>
          <w:spacing w:val="-2"/>
          <w:sz w:val="21"/>
          <w:szCs w:val="21"/>
        </w:rPr>
        <w:t>侧面和顶面距保护对象外缘的距离为：采用二氧</w:t>
      </w:r>
      <w:r>
        <w:rPr>
          <w:rFonts w:ascii="宋体" w:hAnsi="宋体" w:eastAsia="宋体" w:cs="宋体"/>
          <w:spacing w:val="-3"/>
          <w:sz w:val="21"/>
          <w:szCs w:val="21"/>
        </w:rPr>
        <w:t>化碳和七氟丙烷</w:t>
      </w:r>
      <w:r>
        <w:rPr>
          <w:rFonts w:ascii="宋体" w:hAnsi="宋体" w:eastAsia="宋体" w:cs="宋体"/>
          <w:spacing w:val="7"/>
          <w:sz w:val="21"/>
          <w:szCs w:val="21"/>
        </w:rPr>
        <w:t>时不应小于0.6</w:t>
      </w:r>
      <w:r>
        <w:rPr>
          <w:rFonts w:ascii="Times New Roman" w:hAnsi="Times New Roman" w:eastAsia="Times New Roman" w:cs="Times New Roman"/>
          <w:spacing w:val="7"/>
          <w:sz w:val="21"/>
          <w:szCs w:val="21"/>
        </w:rPr>
        <w:t>m,</w:t>
      </w:r>
      <w:r>
        <w:rPr>
          <w:rFonts w:ascii="宋体" w:hAnsi="宋体" w:eastAsia="宋体" w:cs="宋体"/>
          <w:spacing w:val="7"/>
          <w:sz w:val="21"/>
          <w:szCs w:val="21"/>
        </w:rPr>
        <w:t>采用干粉时不应小于1.</w:t>
      </w:r>
      <w:r>
        <w:rPr>
          <w:rFonts w:ascii="宋体" w:hAnsi="宋体" w:eastAsia="宋体" w:cs="宋体"/>
          <w:spacing w:val="6"/>
          <w:sz w:val="21"/>
          <w:szCs w:val="21"/>
        </w:rPr>
        <w:t>5</w:t>
      </w:r>
      <w:r>
        <w:rPr>
          <w:rFonts w:ascii="Times New Roman" w:hAnsi="Times New Roman" w:eastAsia="Times New Roman" w:cs="Times New Roman"/>
          <w:spacing w:val="6"/>
          <w:sz w:val="21"/>
          <w:szCs w:val="21"/>
        </w:rPr>
        <w:t>m</w:t>
      </w:r>
      <w:r>
        <w:rPr>
          <w:rFonts w:ascii="宋体" w:hAnsi="宋体" w:eastAsia="宋体" w:cs="宋体"/>
          <w:spacing w:val="6"/>
          <w:sz w:val="21"/>
          <w:szCs w:val="21"/>
        </w:rPr>
        <w:t>。</w:t>
      </w:r>
    </w:p>
    <w:p>
      <w:pPr>
        <w:spacing w:line="255" w:lineRule="auto"/>
        <w:rPr>
          <w:rFonts w:ascii="宋体" w:hAnsi="宋体" w:eastAsia="宋体" w:cs="宋体"/>
          <w:sz w:val="21"/>
          <w:szCs w:val="21"/>
        </w:rPr>
        <w:sectPr>
          <w:footerReference r:id="rId64" w:type="default"/>
          <w:pgSz w:w="8280" w:h="11850"/>
          <w:pgMar w:top="400" w:right="1154" w:bottom="1330" w:left="1210" w:header="0" w:footer="1057" w:gutter="0"/>
          <w:cols w:space="720" w:num="1"/>
        </w:sectPr>
      </w:pPr>
    </w:p>
    <w:p>
      <w:pPr>
        <w:pStyle w:val="2"/>
        <w:spacing w:line="287" w:lineRule="auto"/>
      </w:pPr>
    </w:p>
    <w:p>
      <w:pPr>
        <w:pStyle w:val="2"/>
        <w:spacing w:line="288" w:lineRule="auto"/>
      </w:pPr>
    </w:p>
    <w:p>
      <w:pPr>
        <w:pStyle w:val="2"/>
        <w:spacing w:line="288" w:lineRule="auto"/>
      </w:pPr>
    </w:p>
    <w:p>
      <w:pPr>
        <w:spacing w:before="68" w:line="293" w:lineRule="auto"/>
        <w:ind w:left="29" w:right="10" w:firstLine="400"/>
        <w:rPr>
          <w:rFonts w:ascii="宋体" w:hAnsi="宋体" w:eastAsia="宋体" w:cs="宋体"/>
          <w:sz w:val="21"/>
          <w:szCs w:val="21"/>
        </w:rPr>
      </w:pPr>
      <w:r>
        <w:rPr>
          <w:rFonts w:ascii="宋体" w:hAnsi="宋体" w:eastAsia="宋体" w:cs="宋体"/>
          <w:spacing w:val="4"/>
          <w:sz w:val="21"/>
          <w:szCs w:val="21"/>
        </w:rPr>
        <w:t>3无围合结构敞开局部空间应用面积法灭火剂设计用量应</w:t>
      </w:r>
      <w:r>
        <w:rPr>
          <w:rFonts w:ascii="宋体" w:hAnsi="宋体" w:eastAsia="宋体" w:cs="宋体"/>
          <w:spacing w:val="-5"/>
          <w:sz w:val="21"/>
          <w:szCs w:val="21"/>
        </w:rPr>
        <w:t>按下式计算：</w:t>
      </w:r>
    </w:p>
    <w:p>
      <w:pPr>
        <w:spacing w:before="67" w:line="208" w:lineRule="auto"/>
        <w:ind w:left="2219"/>
        <w:rPr>
          <w:rFonts w:ascii="宋体" w:hAnsi="宋体" w:eastAsia="宋体" w:cs="宋体"/>
          <w:sz w:val="21"/>
          <w:szCs w:val="21"/>
        </w:rPr>
      </w:pPr>
      <w:r>
        <w:rPr>
          <w:rFonts w:ascii="Times New Roman" w:hAnsi="Times New Roman" w:eastAsia="Times New Roman" w:cs="Times New Roman"/>
          <w:i/>
          <w:iCs/>
          <w:spacing w:val="-1"/>
          <w:position w:val="1"/>
          <w:sz w:val="21"/>
          <w:szCs w:val="21"/>
        </w:rPr>
        <w:t>M=N·Q₁·t</w:t>
      </w:r>
      <w:r>
        <w:rPr>
          <w:rFonts w:ascii="宋体" w:hAnsi="宋体" w:eastAsia="宋体" w:cs="宋体"/>
          <w:spacing w:val="-1"/>
          <w:sz w:val="21"/>
          <w:szCs w:val="21"/>
        </w:rPr>
        <w:t>(8.2.1</w:t>
      </w:r>
      <w:r>
        <w:rPr>
          <w:rFonts w:ascii="宋体" w:hAnsi="宋体" w:eastAsia="宋体" w:cs="宋体"/>
          <w:spacing w:val="-2"/>
          <w:sz w:val="21"/>
          <w:szCs w:val="21"/>
        </w:rPr>
        <w:t>0-1)</w:t>
      </w:r>
    </w:p>
    <w:p>
      <w:pPr>
        <w:spacing w:before="183" w:line="214" w:lineRule="auto"/>
        <w:ind w:left="29"/>
        <w:rPr>
          <w:rFonts w:ascii="宋体" w:hAnsi="宋体" w:eastAsia="宋体" w:cs="宋体"/>
          <w:sz w:val="21"/>
          <w:szCs w:val="21"/>
        </w:rPr>
      </w:pPr>
      <w:r>
        <w:rPr>
          <w:rFonts w:ascii="宋体" w:hAnsi="宋体" w:eastAsia="宋体" w:cs="宋体"/>
          <w:spacing w:val="-8"/>
          <w:sz w:val="21"/>
          <w:szCs w:val="21"/>
        </w:rPr>
        <w:t>式中：M——灭火剂设计总量(kg);</w:t>
      </w:r>
    </w:p>
    <w:p>
      <w:pPr>
        <w:spacing w:before="63" w:line="219" w:lineRule="auto"/>
        <w:ind w:left="559"/>
        <w:rPr>
          <w:rFonts w:ascii="宋体" w:hAnsi="宋体" w:eastAsia="宋体" w:cs="宋体"/>
          <w:sz w:val="21"/>
          <w:szCs w:val="21"/>
        </w:rPr>
      </w:pPr>
      <w:r>
        <w:rPr>
          <w:rFonts w:ascii="宋体" w:hAnsi="宋体" w:eastAsia="宋体" w:cs="宋体"/>
          <w:spacing w:val="1"/>
          <w:sz w:val="21"/>
          <w:szCs w:val="21"/>
        </w:rPr>
        <w:t>N——喷头数量；</w:t>
      </w:r>
    </w:p>
    <w:p>
      <w:pPr>
        <w:spacing w:before="73" w:line="272" w:lineRule="auto"/>
        <w:ind w:left="1169" w:hanging="639"/>
        <w:rPr>
          <w:rFonts w:ascii="宋体" w:hAnsi="宋体" w:eastAsia="宋体" w:cs="宋体"/>
          <w:sz w:val="21"/>
          <w:szCs w:val="21"/>
        </w:rPr>
      </w:pPr>
      <w:r>
        <w:rPr>
          <w:rFonts w:ascii="宋体" w:hAnsi="宋体" w:eastAsia="宋体" w:cs="宋体"/>
          <w:spacing w:val="4"/>
          <w:sz w:val="21"/>
          <w:szCs w:val="21"/>
        </w:rPr>
        <w:t>Q</w:t>
      </w:r>
      <w:r>
        <w:rPr>
          <w:rFonts w:ascii="Calibri" w:hAnsi="Calibri" w:eastAsia="Calibri" w:cs="Calibri"/>
          <w:spacing w:val="4"/>
          <w:sz w:val="21"/>
          <w:szCs w:val="21"/>
        </w:rPr>
        <w:t>₁</w:t>
      </w:r>
      <w:r>
        <w:rPr>
          <w:rFonts w:ascii="宋体" w:hAnsi="宋体" w:eastAsia="宋体" w:cs="宋体"/>
          <w:spacing w:val="4"/>
          <w:sz w:val="21"/>
          <w:szCs w:val="21"/>
        </w:rPr>
        <w:t>——单个喷头的设计流量(</w:t>
      </w:r>
      <w:r>
        <w:rPr>
          <w:rFonts w:ascii="宋体" w:hAnsi="宋体" w:eastAsia="宋体" w:cs="宋体"/>
          <w:sz w:val="21"/>
          <w:szCs w:val="21"/>
        </w:rPr>
        <w:t>kg</w:t>
      </w:r>
      <w:r>
        <w:rPr>
          <w:rFonts w:ascii="宋体" w:hAnsi="宋体" w:eastAsia="宋体" w:cs="宋体"/>
          <w:spacing w:val="4"/>
          <w:sz w:val="21"/>
          <w:szCs w:val="21"/>
        </w:rPr>
        <w:t>/s),按照产品参数(质量证</w:t>
      </w:r>
      <w:r>
        <w:rPr>
          <w:rFonts w:ascii="宋体" w:hAnsi="宋体" w:eastAsia="宋体" w:cs="宋体"/>
          <w:spacing w:val="-4"/>
          <w:sz w:val="21"/>
          <w:szCs w:val="21"/>
        </w:rPr>
        <w:t>明文件)确定；</w:t>
      </w:r>
    </w:p>
    <w:p>
      <w:pPr>
        <w:spacing w:before="15" w:line="269" w:lineRule="auto"/>
        <w:ind w:left="1158" w:right="6" w:hanging="499"/>
        <w:rPr>
          <w:rFonts w:ascii="宋体" w:hAnsi="宋体" w:eastAsia="宋体" w:cs="宋体"/>
          <w:sz w:val="21"/>
          <w:szCs w:val="21"/>
        </w:rPr>
      </w:pPr>
      <w:r>
        <w:rPr>
          <w:rFonts w:ascii="宋体" w:hAnsi="宋体" w:eastAsia="宋体" w:cs="宋体"/>
          <w:spacing w:val="10"/>
          <w:sz w:val="21"/>
          <w:szCs w:val="21"/>
        </w:rPr>
        <w:t>t——喷射时间(s),不小于1.5倍的产品参数(质量证明</w:t>
      </w:r>
      <w:r>
        <w:rPr>
          <w:rFonts w:ascii="宋体" w:hAnsi="宋体" w:eastAsia="宋体" w:cs="宋体"/>
          <w:spacing w:val="-4"/>
          <w:sz w:val="21"/>
          <w:szCs w:val="21"/>
        </w:rPr>
        <w:t>文件)。</w:t>
      </w:r>
    </w:p>
    <w:p>
      <w:pPr>
        <w:spacing w:before="11" w:line="284" w:lineRule="auto"/>
        <w:ind w:left="19" w:right="20" w:firstLine="410"/>
        <w:rPr>
          <w:rFonts w:ascii="宋体" w:hAnsi="宋体" w:eastAsia="宋体" w:cs="宋体"/>
          <w:sz w:val="21"/>
          <w:szCs w:val="21"/>
        </w:rPr>
      </w:pPr>
      <w:r>
        <w:rPr>
          <w:rFonts w:ascii="宋体" w:hAnsi="宋体" w:eastAsia="宋体" w:cs="宋体"/>
          <w:spacing w:val="4"/>
          <w:sz w:val="21"/>
          <w:szCs w:val="21"/>
        </w:rPr>
        <w:t>4无围合结构敞开局部空间应用体积法灭火剂设计用量应</w:t>
      </w:r>
      <w:r>
        <w:rPr>
          <w:rFonts w:ascii="宋体" w:hAnsi="宋体" w:eastAsia="宋体" w:cs="宋体"/>
          <w:spacing w:val="-9"/>
          <w:sz w:val="21"/>
          <w:szCs w:val="21"/>
        </w:rPr>
        <w:t>按下式计算：</w:t>
      </w:r>
    </w:p>
    <w:p>
      <w:pPr>
        <w:spacing w:before="78" w:line="202" w:lineRule="auto"/>
        <w:ind w:left="2229"/>
        <w:rPr>
          <w:rFonts w:ascii="宋体" w:hAnsi="宋体" w:eastAsia="宋体" w:cs="宋体"/>
          <w:sz w:val="21"/>
          <w:szCs w:val="21"/>
        </w:rPr>
      </w:pPr>
      <w:r>
        <w:rPr>
          <w:rFonts w:ascii="Times New Roman" w:hAnsi="Times New Roman" w:eastAsia="Times New Roman" w:cs="Times New Roman"/>
          <w:spacing w:val="-3"/>
          <w:sz w:val="21"/>
          <w:szCs w:val="21"/>
        </w:rPr>
        <w:t>M=V₁·Q·t</w:t>
      </w:r>
      <w:r>
        <w:rPr>
          <w:rFonts w:ascii="宋体" w:hAnsi="宋体" w:eastAsia="宋体" w:cs="宋体"/>
          <w:spacing w:val="-3"/>
          <w:sz w:val="21"/>
          <w:szCs w:val="21"/>
        </w:rPr>
        <w:t>(8.2.10-2)</w:t>
      </w:r>
    </w:p>
    <w:p>
      <w:pPr>
        <w:spacing w:before="174" w:line="212" w:lineRule="auto"/>
        <w:ind w:left="19"/>
        <w:rPr>
          <w:rFonts w:ascii="Times New Roman" w:hAnsi="Times New Roman" w:eastAsia="Times New Roman" w:cs="Times New Roman"/>
          <w:sz w:val="21"/>
          <w:szCs w:val="21"/>
        </w:rPr>
      </w:pPr>
      <w:r>
        <w:rPr>
          <w:rFonts w:ascii="宋体" w:hAnsi="宋体" w:eastAsia="宋体" w:cs="宋体"/>
          <w:spacing w:val="-9"/>
          <w:sz w:val="21"/>
          <w:szCs w:val="21"/>
        </w:rPr>
        <w:t>式中：</w:t>
      </w:r>
      <w:r>
        <w:rPr>
          <w:rFonts w:ascii="Times New Roman" w:hAnsi="Times New Roman" w:eastAsia="Times New Roman" w:cs="Times New Roman"/>
          <w:spacing w:val="-9"/>
          <w:sz w:val="21"/>
          <w:szCs w:val="21"/>
        </w:rPr>
        <w:t>VL——</w:t>
      </w:r>
      <w:r>
        <w:rPr>
          <w:rFonts w:ascii="宋体" w:hAnsi="宋体" w:eastAsia="宋体" w:cs="宋体"/>
          <w:spacing w:val="-9"/>
          <w:sz w:val="21"/>
          <w:szCs w:val="21"/>
        </w:rPr>
        <w:t>保护对象的计算体积</w:t>
      </w:r>
      <w:r>
        <w:rPr>
          <w:rFonts w:ascii="Times New Roman" w:hAnsi="Times New Roman" w:eastAsia="Times New Roman" w:cs="Times New Roman"/>
          <w:spacing w:val="-9"/>
          <w:sz w:val="21"/>
          <w:szCs w:val="21"/>
        </w:rPr>
        <w:t>(m³);</w:t>
      </w:r>
    </w:p>
    <w:p>
      <w:pPr>
        <w:spacing w:before="97" w:line="271" w:lineRule="auto"/>
        <w:ind w:left="1169" w:right="9" w:hanging="589"/>
        <w:rPr>
          <w:rFonts w:ascii="宋体" w:hAnsi="宋体" w:eastAsia="宋体" w:cs="宋体"/>
          <w:sz w:val="21"/>
          <w:szCs w:val="21"/>
        </w:rPr>
      </w:pPr>
      <w:r>
        <w:rPr>
          <w:rFonts w:ascii="宋体" w:hAnsi="宋体" w:eastAsia="宋体" w:cs="宋体"/>
          <w:spacing w:val="7"/>
          <w:sz w:val="21"/>
          <w:szCs w:val="21"/>
        </w:rPr>
        <w:t>Q——喷射强度(</w:t>
      </w:r>
      <w:r>
        <w:rPr>
          <w:rFonts w:ascii="宋体" w:hAnsi="宋体" w:eastAsia="宋体" w:cs="宋体"/>
          <w:sz w:val="21"/>
          <w:szCs w:val="21"/>
        </w:rPr>
        <w:t>kg</w:t>
      </w:r>
      <w:r>
        <w:rPr>
          <w:rFonts w:ascii="宋体" w:hAnsi="宋体" w:eastAsia="宋体" w:cs="宋体"/>
          <w:spacing w:val="7"/>
          <w:sz w:val="21"/>
          <w:szCs w:val="21"/>
        </w:rPr>
        <w:t>/s),不小于1.3倍的产品参数(质量证</w:t>
      </w:r>
      <w:r>
        <w:rPr>
          <w:rFonts w:ascii="宋体" w:hAnsi="宋体" w:eastAsia="宋体" w:cs="宋体"/>
          <w:spacing w:val="-2"/>
          <w:sz w:val="21"/>
          <w:szCs w:val="21"/>
        </w:rPr>
        <w:t>明文件)。</w:t>
      </w:r>
    </w:p>
    <w:p>
      <w:pPr>
        <w:spacing w:before="18" w:line="266" w:lineRule="auto"/>
        <w:ind w:left="19" w:right="28" w:firstLine="389"/>
        <w:rPr>
          <w:rFonts w:ascii="宋体" w:hAnsi="宋体" w:eastAsia="宋体" w:cs="宋体"/>
          <w:sz w:val="21"/>
          <w:szCs w:val="21"/>
        </w:rPr>
      </w:pPr>
      <w:r>
        <w:rPr>
          <w:rFonts w:ascii="宋体" w:hAnsi="宋体" w:eastAsia="宋体" w:cs="宋体"/>
          <w:spacing w:val="4"/>
          <w:sz w:val="21"/>
          <w:szCs w:val="21"/>
        </w:rPr>
        <w:t>5探火管灭火装置的探火管和释放管最大长度应按产品参</w:t>
      </w:r>
      <w:r>
        <w:rPr>
          <w:rFonts w:ascii="宋体" w:hAnsi="宋体" w:eastAsia="宋体" w:cs="宋体"/>
          <w:spacing w:val="-4"/>
          <w:sz w:val="21"/>
          <w:szCs w:val="21"/>
        </w:rPr>
        <w:t>数(质量证明文件)确定。</w:t>
      </w:r>
    </w:p>
    <w:p>
      <w:pPr>
        <w:spacing w:before="26" w:line="257" w:lineRule="auto"/>
        <w:ind w:left="10" w:right="26"/>
        <w:rPr>
          <w:rFonts w:ascii="宋体" w:hAnsi="宋体" w:eastAsia="宋体" w:cs="宋体"/>
          <w:sz w:val="21"/>
          <w:szCs w:val="21"/>
        </w:rPr>
      </w:pPr>
      <w:r>
        <w:rPr>
          <w:rFonts w:ascii="宋体" w:hAnsi="宋体" w:eastAsia="宋体" w:cs="宋体"/>
          <w:spacing w:val="-1"/>
          <w:sz w:val="21"/>
          <w:szCs w:val="21"/>
        </w:rPr>
        <w:t>8.2.11探火管宜布置在保护对象的正上方，且距离保护对象不</w:t>
      </w:r>
      <w:r>
        <w:rPr>
          <w:rFonts w:ascii="宋体" w:hAnsi="宋体" w:eastAsia="宋体" w:cs="宋体"/>
          <w:sz w:val="21"/>
          <w:szCs w:val="21"/>
        </w:rPr>
        <w:t>应大于0.6</w:t>
      </w:r>
      <w:r>
        <w:rPr>
          <w:rFonts w:ascii="Times New Roman" w:hAnsi="Times New Roman" w:eastAsia="Times New Roman" w:cs="Times New Roman"/>
          <w:sz w:val="21"/>
          <w:szCs w:val="21"/>
        </w:rPr>
        <w:t>m;</w:t>
      </w:r>
      <w:r>
        <w:rPr>
          <w:rFonts w:ascii="宋体" w:hAnsi="宋体" w:eastAsia="宋体" w:cs="宋体"/>
          <w:sz w:val="21"/>
          <w:szCs w:val="21"/>
        </w:rPr>
        <w:t>当布置在保护对象的侧方或下方时，其距离不应大</w:t>
      </w:r>
      <w:r>
        <w:rPr>
          <w:rFonts w:ascii="宋体" w:hAnsi="宋体" w:eastAsia="宋体" w:cs="宋体"/>
          <w:spacing w:val="9"/>
          <w:sz w:val="21"/>
          <w:szCs w:val="21"/>
        </w:rPr>
        <w:t>于0.16</w:t>
      </w:r>
      <w:r>
        <w:rPr>
          <w:rFonts w:ascii="Times New Roman" w:hAnsi="Times New Roman" w:eastAsia="Times New Roman" w:cs="Times New Roman"/>
          <w:spacing w:val="9"/>
          <w:sz w:val="21"/>
          <w:szCs w:val="21"/>
        </w:rPr>
        <w:t>m</w:t>
      </w:r>
      <w:r>
        <w:rPr>
          <w:rFonts w:ascii="宋体" w:hAnsi="宋体" w:eastAsia="宋体" w:cs="宋体"/>
          <w:spacing w:val="9"/>
          <w:sz w:val="21"/>
          <w:szCs w:val="21"/>
        </w:rPr>
        <w:t>。</w:t>
      </w:r>
    </w:p>
    <w:p>
      <w:pPr>
        <w:spacing w:before="60" w:line="247" w:lineRule="auto"/>
        <w:ind w:left="19" w:right="34" w:hanging="9"/>
        <w:rPr>
          <w:rFonts w:ascii="宋体" w:hAnsi="宋体" w:eastAsia="宋体" w:cs="宋体"/>
          <w:sz w:val="21"/>
          <w:szCs w:val="21"/>
        </w:rPr>
      </w:pPr>
      <w:r>
        <w:rPr>
          <w:rFonts w:ascii="Times New Roman" w:hAnsi="Times New Roman" w:eastAsia="Times New Roman" w:cs="Times New Roman"/>
          <w:spacing w:val="7"/>
          <w:sz w:val="21"/>
          <w:szCs w:val="21"/>
        </w:rPr>
        <w:t>8.2.12</w:t>
      </w:r>
      <w:r>
        <w:rPr>
          <w:rFonts w:ascii="宋体" w:hAnsi="宋体" w:eastAsia="宋体" w:cs="宋体"/>
          <w:spacing w:val="7"/>
          <w:sz w:val="21"/>
          <w:szCs w:val="21"/>
        </w:rPr>
        <w:t>探火管之间的布置间距不应大于1.0m,探火管的弯曲</w:t>
      </w:r>
      <w:r>
        <w:rPr>
          <w:rFonts w:ascii="宋体" w:hAnsi="宋体" w:eastAsia="宋体" w:cs="宋体"/>
          <w:spacing w:val="5"/>
          <w:sz w:val="21"/>
          <w:szCs w:val="21"/>
        </w:rPr>
        <w:t>半径不宜小于其外径的15倍。</w:t>
      </w:r>
    </w:p>
    <w:p>
      <w:pPr>
        <w:spacing w:before="61" w:line="219" w:lineRule="auto"/>
        <w:rPr>
          <w:rFonts w:ascii="宋体" w:hAnsi="宋体" w:eastAsia="宋体" w:cs="宋体"/>
          <w:sz w:val="21"/>
          <w:szCs w:val="21"/>
        </w:rPr>
      </w:pPr>
      <w:r>
        <w:rPr>
          <w:rFonts w:ascii="宋体" w:hAnsi="宋体" w:eastAsia="宋体" w:cs="宋体"/>
          <w:spacing w:val="-1"/>
          <w:sz w:val="21"/>
          <w:szCs w:val="21"/>
        </w:rPr>
        <w:t>8.2.13探火管灭火装置的系统组件应满足下列要求：</w:t>
      </w:r>
    </w:p>
    <w:p>
      <w:pPr>
        <w:spacing w:before="59" w:line="251" w:lineRule="auto"/>
        <w:ind w:left="19" w:right="40" w:firstLine="389"/>
        <w:rPr>
          <w:rFonts w:ascii="宋体" w:hAnsi="宋体" w:eastAsia="宋体" w:cs="宋体"/>
          <w:sz w:val="21"/>
          <w:szCs w:val="21"/>
        </w:rPr>
      </w:pPr>
      <w:r>
        <w:rPr>
          <w:rFonts w:ascii="宋体" w:hAnsi="宋体" w:eastAsia="宋体" w:cs="宋体"/>
          <w:spacing w:val="-4"/>
          <w:sz w:val="21"/>
          <w:szCs w:val="21"/>
        </w:rPr>
        <w:t>1探火管灭火装置由灭火剂贮存容器、容器阀</w:t>
      </w:r>
      <w:r>
        <w:rPr>
          <w:rFonts w:ascii="宋体" w:hAnsi="宋体" w:eastAsia="宋体" w:cs="宋体"/>
          <w:spacing w:val="-5"/>
          <w:sz w:val="21"/>
          <w:szCs w:val="21"/>
        </w:rPr>
        <w:t>、探火管、单</w:t>
      </w:r>
      <w:r>
        <w:rPr>
          <w:rFonts w:ascii="宋体" w:hAnsi="宋体" w:eastAsia="宋体" w:cs="宋体"/>
          <w:spacing w:val="-8"/>
          <w:sz w:val="21"/>
          <w:szCs w:val="21"/>
        </w:rPr>
        <w:t>向阀、压力显示器、喷头(间接式)及释放管(间接式</w:t>
      </w:r>
      <w:r>
        <w:rPr>
          <w:rFonts w:ascii="宋体" w:hAnsi="宋体" w:eastAsia="宋体" w:cs="宋体"/>
          <w:spacing w:val="-9"/>
          <w:sz w:val="21"/>
          <w:szCs w:val="21"/>
        </w:rPr>
        <w:t>)等组成。</w:t>
      </w:r>
    </w:p>
    <w:p>
      <w:pPr>
        <w:spacing w:before="51" w:line="260" w:lineRule="auto"/>
        <w:ind w:left="10" w:right="30" w:firstLine="409"/>
        <w:rPr>
          <w:rFonts w:ascii="宋体" w:hAnsi="宋体" w:eastAsia="宋体" w:cs="宋体"/>
          <w:sz w:val="21"/>
          <w:szCs w:val="21"/>
        </w:rPr>
      </w:pPr>
      <w:r>
        <w:rPr>
          <w:rFonts w:ascii="宋体" w:hAnsi="宋体" w:eastAsia="宋体" w:cs="宋体"/>
          <w:spacing w:val="4"/>
          <w:sz w:val="21"/>
          <w:szCs w:val="21"/>
        </w:rPr>
        <w:t>2探火管灭火装置的组件及布置应符合现行行业</w:t>
      </w:r>
      <w:r>
        <w:rPr>
          <w:rFonts w:ascii="宋体" w:hAnsi="宋体" w:eastAsia="宋体" w:cs="宋体"/>
          <w:spacing w:val="3"/>
          <w:sz w:val="21"/>
          <w:szCs w:val="21"/>
        </w:rPr>
        <w:t>标准《探</w:t>
      </w:r>
      <w:r>
        <w:rPr>
          <w:rFonts w:ascii="宋体" w:hAnsi="宋体" w:eastAsia="宋体" w:cs="宋体"/>
          <w:spacing w:val="-7"/>
          <w:sz w:val="21"/>
          <w:szCs w:val="21"/>
        </w:rPr>
        <w:t>火管式灭火装置》XF1167和现行国家标准《气体灭火系统设计规</w:t>
      </w:r>
      <w:r>
        <w:rPr>
          <w:rFonts w:ascii="宋体" w:hAnsi="宋体" w:eastAsia="宋体" w:cs="宋体"/>
          <w:spacing w:val="-14"/>
          <w:sz w:val="21"/>
          <w:szCs w:val="21"/>
        </w:rPr>
        <w:t>范》</w:t>
      </w:r>
      <w:r>
        <w:rPr>
          <w:rFonts w:ascii="Times New Roman" w:hAnsi="Times New Roman" w:eastAsia="Times New Roman" w:cs="Times New Roman"/>
          <w:spacing w:val="-14"/>
          <w:sz w:val="21"/>
          <w:szCs w:val="21"/>
        </w:rPr>
        <w:t>GB50370</w:t>
      </w:r>
      <w:r>
        <w:rPr>
          <w:rFonts w:ascii="宋体" w:hAnsi="宋体" w:eastAsia="宋体" w:cs="宋体"/>
          <w:spacing w:val="-14"/>
          <w:sz w:val="21"/>
          <w:szCs w:val="21"/>
        </w:rPr>
        <w:t>、《二氧化碳灭火系统设计规范》</w:t>
      </w:r>
      <w:r>
        <w:rPr>
          <w:rFonts w:ascii="Times New Roman" w:hAnsi="Times New Roman" w:eastAsia="Times New Roman" w:cs="Times New Roman"/>
          <w:spacing w:val="-14"/>
          <w:sz w:val="21"/>
          <w:szCs w:val="21"/>
        </w:rPr>
        <w:t>GB50193</w:t>
      </w:r>
      <w:r>
        <w:rPr>
          <w:rFonts w:ascii="宋体" w:hAnsi="宋体" w:eastAsia="宋体" w:cs="宋体"/>
          <w:spacing w:val="-14"/>
          <w:sz w:val="21"/>
          <w:szCs w:val="21"/>
        </w:rPr>
        <w:t>、《干粉灭</w:t>
      </w:r>
    </w:p>
    <w:p>
      <w:pPr>
        <w:spacing w:line="260" w:lineRule="auto"/>
        <w:rPr>
          <w:rFonts w:ascii="宋体" w:hAnsi="宋体" w:eastAsia="宋体" w:cs="宋体"/>
          <w:sz w:val="21"/>
          <w:szCs w:val="21"/>
        </w:rPr>
        <w:sectPr>
          <w:footerReference r:id="rId65" w:type="default"/>
          <w:pgSz w:w="8280" w:h="11850"/>
          <w:pgMar w:top="400" w:right="1181" w:bottom="1300" w:left="1200" w:header="0" w:footer="1027" w:gutter="0"/>
          <w:cols w:space="720" w:num="1"/>
        </w:sectPr>
      </w:pPr>
    </w:p>
    <w:p>
      <w:pPr>
        <w:pStyle w:val="2"/>
        <w:spacing w:line="275" w:lineRule="auto"/>
      </w:pPr>
    </w:p>
    <w:p>
      <w:pPr>
        <w:pStyle w:val="2"/>
        <w:spacing w:line="275" w:lineRule="auto"/>
      </w:pPr>
    </w:p>
    <w:p>
      <w:pPr>
        <w:pStyle w:val="2"/>
        <w:spacing w:line="275" w:lineRule="auto"/>
      </w:pPr>
    </w:p>
    <w:p>
      <w:pPr>
        <w:spacing w:before="68" w:line="219" w:lineRule="auto"/>
        <w:rPr>
          <w:rFonts w:ascii="宋体" w:hAnsi="宋体" w:eastAsia="宋体" w:cs="宋体"/>
          <w:sz w:val="21"/>
          <w:szCs w:val="21"/>
        </w:rPr>
      </w:pPr>
      <w:r>
        <w:rPr>
          <w:rFonts w:ascii="宋体" w:hAnsi="宋体" w:eastAsia="宋体" w:cs="宋体"/>
          <w:spacing w:val="-6"/>
          <w:sz w:val="21"/>
          <w:szCs w:val="21"/>
        </w:rPr>
        <w:t>火系统设计规范》GB50347的规定。</w:t>
      </w:r>
    </w:p>
    <w:p>
      <w:pPr>
        <w:spacing w:before="47" w:line="262" w:lineRule="auto"/>
        <w:ind w:firstLine="419"/>
        <w:rPr>
          <w:rFonts w:ascii="宋体" w:hAnsi="宋体" w:eastAsia="宋体" w:cs="宋体"/>
          <w:sz w:val="21"/>
          <w:szCs w:val="21"/>
        </w:rPr>
      </w:pPr>
      <w:r>
        <w:rPr>
          <w:rFonts w:ascii="Times New Roman" w:hAnsi="Times New Roman" w:eastAsia="Times New Roman" w:cs="Times New Roman"/>
          <w:b/>
          <w:bCs/>
          <w:spacing w:val="1"/>
          <w:sz w:val="21"/>
          <w:szCs w:val="21"/>
        </w:rPr>
        <w:t>3</w:t>
      </w:r>
      <w:r>
        <w:rPr>
          <w:rFonts w:ascii="宋体" w:hAnsi="宋体" w:eastAsia="宋体" w:cs="宋体"/>
          <w:spacing w:val="1"/>
          <w:sz w:val="21"/>
          <w:szCs w:val="21"/>
        </w:rPr>
        <w:t>灭火剂应符合现行国家标准《七氟丙烷</w:t>
      </w:r>
      <w:r>
        <w:rPr>
          <w:rFonts w:ascii="Times New Roman" w:hAnsi="Times New Roman" w:eastAsia="Times New Roman" w:cs="Times New Roman"/>
          <w:spacing w:val="1"/>
          <w:sz w:val="21"/>
          <w:szCs w:val="21"/>
        </w:rPr>
        <w:t>(</w:t>
      </w:r>
      <w:r>
        <w:rPr>
          <w:rFonts w:ascii="Times New Roman" w:hAnsi="Times New Roman" w:eastAsia="Times New Roman" w:cs="Times New Roman"/>
          <w:sz w:val="21"/>
          <w:szCs w:val="21"/>
        </w:rPr>
        <w:t>HFC</w:t>
      </w:r>
      <w:r>
        <w:rPr>
          <w:rFonts w:ascii="Times New Roman" w:hAnsi="Times New Roman" w:eastAsia="Times New Roman" w:cs="Times New Roman"/>
          <w:spacing w:val="1"/>
          <w:sz w:val="21"/>
          <w:szCs w:val="21"/>
        </w:rPr>
        <w:t>227</w:t>
      </w:r>
      <w:r>
        <w:rPr>
          <w:rFonts w:ascii="Times New Roman" w:hAnsi="Times New Roman" w:eastAsia="Times New Roman" w:cs="Times New Roman"/>
          <w:sz w:val="21"/>
          <w:szCs w:val="21"/>
        </w:rPr>
        <w:t>ea</w:t>
      </w:r>
      <w:r>
        <w:rPr>
          <w:rFonts w:ascii="Times New Roman" w:hAnsi="Times New Roman" w:eastAsia="Times New Roman" w:cs="Times New Roman"/>
          <w:spacing w:val="1"/>
          <w:sz w:val="21"/>
          <w:szCs w:val="21"/>
        </w:rPr>
        <w:t>)</w:t>
      </w:r>
      <w:r>
        <w:rPr>
          <w:rFonts w:ascii="宋体" w:hAnsi="宋体" w:eastAsia="宋体" w:cs="宋体"/>
          <w:spacing w:val="1"/>
          <w:sz w:val="21"/>
          <w:szCs w:val="21"/>
        </w:rPr>
        <w:t>灭</w:t>
      </w:r>
      <w:r>
        <w:rPr>
          <w:rFonts w:ascii="宋体" w:hAnsi="宋体" w:eastAsia="宋体" w:cs="宋体"/>
          <w:spacing w:val="-2"/>
          <w:sz w:val="21"/>
          <w:szCs w:val="21"/>
        </w:rPr>
        <w:t>火剂》GB18614、《二氧化碳灭火剂》GB4396、《干粉灭火剂》</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4066</w:t>
      </w:r>
      <w:r>
        <w:rPr>
          <w:rFonts w:ascii="宋体" w:hAnsi="宋体" w:eastAsia="宋体" w:cs="宋体"/>
          <w:spacing w:val="3"/>
          <w:sz w:val="21"/>
          <w:szCs w:val="21"/>
        </w:rPr>
        <w:t>的规定。</w:t>
      </w:r>
    </w:p>
    <w:p>
      <w:pPr>
        <w:spacing w:before="88" w:line="246" w:lineRule="auto"/>
        <w:ind w:right="76" w:firstLine="422"/>
        <w:rPr>
          <w:rFonts w:ascii="宋体" w:hAnsi="宋体" w:eastAsia="宋体" w:cs="宋体"/>
          <w:sz w:val="21"/>
          <w:szCs w:val="21"/>
        </w:rPr>
      </w:pPr>
      <w:r>
        <w:rPr>
          <w:rFonts w:ascii="宋体" w:hAnsi="宋体" w:eastAsia="宋体" w:cs="宋体"/>
          <w:b/>
          <w:bCs/>
          <w:spacing w:val="-6"/>
          <w:sz w:val="21"/>
          <w:szCs w:val="21"/>
        </w:rPr>
        <w:t>4</w:t>
      </w:r>
      <w:r>
        <w:rPr>
          <w:rFonts w:ascii="宋体" w:hAnsi="宋体" w:eastAsia="宋体" w:cs="宋体"/>
          <w:spacing w:val="-6"/>
          <w:sz w:val="21"/>
          <w:szCs w:val="21"/>
        </w:rPr>
        <w:t>除探火管、释放管及喷头外，探火管灭火装置的其他组件</w:t>
      </w:r>
      <w:r>
        <w:rPr>
          <w:rFonts w:ascii="宋体" w:hAnsi="宋体" w:eastAsia="宋体" w:cs="宋体"/>
          <w:spacing w:val="-2"/>
          <w:sz w:val="21"/>
          <w:szCs w:val="21"/>
        </w:rPr>
        <w:t>应设置在防护区外邻近出口或疏散通道且便于操作的地方。</w:t>
      </w:r>
    </w:p>
    <w:p>
      <w:pPr>
        <w:spacing w:before="60" w:line="219" w:lineRule="auto"/>
        <w:ind w:left="422"/>
        <w:rPr>
          <w:rFonts w:ascii="宋体" w:hAnsi="宋体" w:eastAsia="宋体" w:cs="宋体"/>
          <w:sz w:val="21"/>
          <w:szCs w:val="21"/>
        </w:rPr>
      </w:pPr>
      <w:r>
        <w:rPr>
          <w:rFonts w:ascii="宋体" w:hAnsi="宋体" w:eastAsia="宋体" w:cs="宋体"/>
          <w:b/>
          <w:bCs/>
          <w:spacing w:val="-1"/>
          <w:sz w:val="21"/>
          <w:szCs w:val="21"/>
        </w:rPr>
        <w:t>5</w:t>
      </w:r>
      <w:r>
        <w:rPr>
          <w:rFonts w:ascii="宋体" w:hAnsi="宋体" w:eastAsia="宋体" w:cs="宋体"/>
          <w:spacing w:val="-1"/>
          <w:sz w:val="21"/>
          <w:szCs w:val="21"/>
        </w:rPr>
        <w:t>容器阀与探火管连接处应设置检修阀门。</w:t>
      </w:r>
    </w:p>
    <w:p>
      <w:pPr>
        <w:spacing w:before="61" w:line="219" w:lineRule="auto"/>
        <w:ind w:left="422"/>
        <w:rPr>
          <w:rFonts w:ascii="宋体" w:hAnsi="宋体" w:eastAsia="宋体" w:cs="宋体"/>
          <w:sz w:val="21"/>
          <w:szCs w:val="21"/>
        </w:rPr>
      </w:pPr>
      <w:r>
        <w:rPr>
          <w:rFonts w:ascii="宋体" w:hAnsi="宋体" w:eastAsia="宋体" w:cs="宋体"/>
          <w:b/>
          <w:bCs/>
          <w:spacing w:val="-2"/>
          <w:sz w:val="21"/>
          <w:szCs w:val="21"/>
        </w:rPr>
        <w:t>6</w:t>
      </w:r>
      <w:r>
        <w:rPr>
          <w:rFonts w:ascii="宋体" w:hAnsi="宋体" w:eastAsia="宋体" w:cs="宋体"/>
          <w:spacing w:val="-2"/>
          <w:sz w:val="21"/>
          <w:szCs w:val="21"/>
        </w:rPr>
        <w:t>防护区外的探火管应设置套管保护。</w:t>
      </w:r>
    </w:p>
    <w:p>
      <w:pPr>
        <w:spacing w:before="81" w:line="251" w:lineRule="auto"/>
        <w:ind w:right="63" w:firstLine="422"/>
        <w:rPr>
          <w:rFonts w:ascii="宋体" w:hAnsi="宋体" w:eastAsia="宋体" w:cs="宋体"/>
          <w:sz w:val="21"/>
          <w:szCs w:val="21"/>
        </w:rPr>
      </w:pPr>
      <w:r>
        <w:rPr>
          <w:rFonts w:ascii="宋体" w:hAnsi="宋体" w:eastAsia="宋体" w:cs="宋体"/>
          <w:b/>
          <w:bCs/>
          <w:spacing w:val="2"/>
          <w:sz w:val="21"/>
          <w:szCs w:val="21"/>
        </w:rPr>
        <w:t>7</w:t>
      </w:r>
      <w:r>
        <w:rPr>
          <w:rFonts w:ascii="宋体" w:hAnsi="宋体" w:eastAsia="宋体" w:cs="宋体"/>
          <w:spacing w:val="2"/>
          <w:sz w:val="21"/>
          <w:szCs w:val="21"/>
        </w:rPr>
        <w:t>探火管灭火装置应设置永久性设备铭牌，贮存容器应固</w:t>
      </w:r>
      <w:r>
        <w:rPr>
          <w:rFonts w:ascii="宋体" w:hAnsi="宋体" w:eastAsia="宋体" w:cs="宋体"/>
          <w:spacing w:val="-1"/>
          <w:sz w:val="21"/>
          <w:szCs w:val="21"/>
        </w:rPr>
        <w:t>定安装。</w:t>
      </w:r>
    </w:p>
    <w:p>
      <w:pPr>
        <w:spacing w:before="68" w:line="250" w:lineRule="auto"/>
        <w:ind w:right="67" w:firstLine="422"/>
        <w:rPr>
          <w:rFonts w:ascii="宋体" w:hAnsi="宋体" w:eastAsia="宋体" w:cs="宋体"/>
          <w:sz w:val="21"/>
          <w:szCs w:val="21"/>
        </w:rPr>
      </w:pPr>
      <w:r>
        <w:rPr>
          <w:rFonts w:ascii="宋体" w:hAnsi="宋体" w:eastAsia="宋体" w:cs="宋体"/>
          <w:b/>
          <w:bCs/>
          <w:spacing w:val="2"/>
          <w:sz w:val="21"/>
          <w:szCs w:val="21"/>
        </w:rPr>
        <w:t>8</w:t>
      </w:r>
      <w:r>
        <w:rPr>
          <w:rFonts w:ascii="宋体" w:hAnsi="宋体" w:eastAsia="宋体" w:cs="宋体"/>
          <w:spacing w:val="2"/>
          <w:sz w:val="21"/>
          <w:szCs w:val="21"/>
        </w:rPr>
        <w:t>当系统装置设置在有爆炸危险的场所时，其管道等金属</w:t>
      </w:r>
      <w:r>
        <w:rPr>
          <w:rFonts w:ascii="宋体" w:hAnsi="宋体" w:eastAsia="宋体" w:cs="宋体"/>
          <w:spacing w:val="-4"/>
          <w:sz w:val="21"/>
          <w:szCs w:val="21"/>
        </w:rPr>
        <w:t>件应设置防静电接地。</w:t>
      </w:r>
    </w:p>
    <w:p>
      <w:pPr>
        <w:spacing w:before="61" w:line="250" w:lineRule="auto"/>
        <w:ind w:right="74" w:firstLine="422"/>
        <w:rPr>
          <w:rFonts w:ascii="宋体" w:hAnsi="宋体" w:eastAsia="宋体" w:cs="宋体"/>
          <w:sz w:val="21"/>
          <w:szCs w:val="21"/>
        </w:rPr>
      </w:pPr>
      <w:r>
        <w:rPr>
          <w:rFonts w:ascii="宋体" w:hAnsi="宋体" w:eastAsia="宋体" w:cs="宋体"/>
          <w:b/>
          <w:bCs/>
          <w:spacing w:val="2"/>
          <w:sz w:val="21"/>
          <w:szCs w:val="21"/>
        </w:rPr>
        <w:t>9</w:t>
      </w:r>
      <w:r>
        <w:rPr>
          <w:rFonts w:ascii="宋体" w:hAnsi="宋体" w:eastAsia="宋体" w:cs="宋体"/>
          <w:spacing w:val="2"/>
          <w:sz w:val="21"/>
          <w:szCs w:val="21"/>
        </w:rPr>
        <w:t>贮存容器或容器阀上，应设置安全泄压装置。安全泄压</w:t>
      </w:r>
      <w:r>
        <w:rPr>
          <w:rFonts w:ascii="宋体" w:hAnsi="宋体" w:eastAsia="宋体" w:cs="宋体"/>
          <w:spacing w:val="-5"/>
          <w:sz w:val="21"/>
          <w:szCs w:val="21"/>
        </w:rPr>
        <w:t>装置的动作压力，应符合相应灭火剂灭火系统的设计规定。</w:t>
      </w:r>
    </w:p>
    <w:p>
      <w:pPr>
        <w:spacing w:before="83" w:line="219" w:lineRule="auto"/>
        <w:ind w:left="3"/>
        <w:rPr>
          <w:rFonts w:ascii="宋体" w:hAnsi="宋体" w:eastAsia="宋体" w:cs="宋体"/>
          <w:sz w:val="21"/>
          <w:szCs w:val="21"/>
        </w:rPr>
      </w:pPr>
      <w:r>
        <w:rPr>
          <w:rFonts w:ascii="宋体" w:hAnsi="宋体" w:eastAsia="宋体" w:cs="宋体"/>
          <w:b/>
          <w:bCs/>
          <w:spacing w:val="-1"/>
          <w:sz w:val="21"/>
          <w:szCs w:val="21"/>
        </w:rPr>
        <w:t>8.2.14</w:t>
      </w:r>
      <w:r>
        <w:rPr>
          <w:rFonts w:ascii="宋体" w:hAnsi="宋体" w:eastAsia="宋体" w:cs="宋体"/>
          <w:spacing w:val="-1"/>
          <w:sz w:val="21"/>
          <w:szCs w:val="21"/>
        </w:rPr>
        <w:t>探火管灭火装置的操作与控制应满足下列</w:t>
      </w:r>
      <w:r>
        <w:rPr>
          <w:rFonts w:ascii="宋体" w:hAnsi="宋体" w:eastAsia="宋体" w:cs="宋体"/>
          <w:spacing w:val="-2"/>
          <w:sz w:val="21"/>
          <w:szCs w:val="21"/>
        </w:rPr>
        <w:t>要求：</w:t>
      </w:r>
    </w:p>
    <w:p>
      <w:pPr>
        <w:spacing w:before="58" w:line="253" w:lineRule="auto"/>
        <w:ind w:right="70" w:firstLine="419"/>
        <w:rPr>
          <w:rFonts w:ascii="宋体" w:hAnsi="宋体" w:eastAsia="宋体" w:cs="宋体"/>
          <w:sz w:val="22"/>
          <w:szCs w:val="22"/>
        </w:rPr>
      </w:pPr>
      <w:r>
        <w:rPr>
          <w:rFonts w:ascii="宋体" w:hAnsi="宋体" w:eastAsia="宋体" w:cs="宋体"/>
          <w:spacing w:val="2"/>
          <w:sz w:val="21"/>
          <w:szCs w:val="21"/>
        </w:rPr>
        <w:t>1直接式探火管灭火装置应采用自动控制启动方式，间接</w:t>
      </w:r>
      <w:r>
        <w:rPr>
          <w:rFonts w:ascii="宋体" w:hAnsi="宋体" w:eastAsia="宋体" w:cs="宋体"/>
          <w:spacing w:val="15"/>
          <w:sz w:val="21"/>
          <w:szCs w:val="21"/>
        </w:rPr>
        <w:t>式探火管灭火装置应设有白动控制和机械应</w:t>
      </w:r>
      <w:r>
        <w:rPr>
          <w:rFonts w:ascii="宋体" w:hAnsi="宋体" w:eastAsia="宋体" w:cs="宋体"/>
          <w:spacing w:val="14"/>
          <w:sz w:val="21"/>
          <w:szCs w:val="21"/>
        </w:rPr>
        <w:t>急操作两种启动</w:t>
      </w:r>
      <w:r>
        <w:rPr>
          <w:rFonts w:ascii="宋体" w:hAnsi="宋体" w:eastAsia="宋体" w:cs="宋体"/>
          <w:i/>
          <w:iCs/>
          <w:spacing w:val="-9"/>
          <w:sz w:val="22"/>
          <w:szCs w:val="22"/>
        </w:rPr>
        <w:t>方式。</w:t>
      </w:r>
    </w:p>
    <w:p>
      <w:pPr>
        <w:spacing w:before="74" w:line="250" w:lineRule="auto"/>
        <w:ind w:right="55" w:firstLine="419"/>
        <w:rPr>
          <w:rFonts w:ascii="宋体" w:hAnsi="宋体" w:eastAsia="宋体" w:cs="宋体"/>
          <w:sz w:val="21"/>
          <w:szCs w:val="21"/>
        </w:rPr>
      </w:pPr>
      <w:r>
        <w:rPr>
          <w:rFonts w:ascii="宋体" w:hAnsi="宋体" w:eastAsia="宋体" w:cs="宋体"/>
          <w:spacing w:val="-5"/>
          <w:sz w:val="21"/>
          <w:szCs w:val="21"/>
        </w:rPr>
        <w:t>2探火管灭火装置启动时，应提供灭火装置释放信号；当设</w:t>
      </w:r>
      <w:r>
        <w:rPr>
          <w:rFonts w:ascii="宋体" w:hAnsi="宋体" w:eastAsia="宋体" w:cs="宋体"/>
          <w:spacing w:val="-6"/>
          <w:sz w:val="21"/>
          <w:szCs w:val="21"/>
        </w:rPr>
        <w:t>有消防控制室时，宜将释放信号上传至消防控制室。</w:t>
      </w:r>
    </w:p>
    <w:p>
      <w:pPr>
        <w:pStyle w:val="2"/>
        <w:spacing w:line="297" w:lineRule="auto"/>
      </w:pPr>
    </w:p>
    <w:p>
      <w:pPr>
        <w:spacing w:before="69" w:line="219" w:lineRule="auto"/>
        <w:ind w:left="1602"/>
        <w:outlineLvl w:val="1"/>
        <w:rPr>
          <w:rFonts w:ascii="宋体" w:hAnsi="宋体" w:eastAsia="宋体" w:cs="宋体"/>
          <w:sz w:val="21"/>
          <w:szCs w:val="21"/>
        </w:rPr>
      </w:pPr>
      <w:bookmarkStart w:id="49" w:name="bookmark31"/>
      <w:bookmarkEnd w:id="49"/>
      <w:r>
        <w:rPr>
          <w:rFonts w:ascii="宋体" w:hAnsi="宋体" w:eastAsia="宋体" w:cs="宋体"/>
          <w:b/>
          <w:bCs/>
          <w:spacing w:val="-4"/>
          <w:sz w:val="21"/>
          <w:szCs w:val="21"/>
        </w:rPr>
        <w:t>8.3超细干粉自动灭火装置</w:t>
      </w:r>
    </w:p>
    <w:p>
      <w:pPr>
        <w:pStyle w:val="2"/>
        <w:spacing w:line="324" w:lineRule="auto"/>
      </w:pPr>
    </w:p>
    <w:p>
      <w:pPr>
        <w:spacing w:before="69" w:line="255" w:lineRule="auto"/>
        <w:ind w:right="70"/>
        <w:rPr>
          <w:rFonts w:ascii="宋体" w:hAnsi="宋体" w:eastAsia="宋体" w:cs="宋体"/>
          <w:sz w:val="21"/>
          <w:szCs w:val="21"/>
        </w:rPr>
      </w:pPr>
      <w:r>
        <w:rPr>
          <w:rFonts w:ascii="宋体" w:hAnsi="宋体" w:eastAsia="宋体" w:cs="宋体"/>
          <w:spacing w:val="2"/>
          <w:sz w:val="21"/>
          <w:szCs w:val="21"/>
        </w:rPr>
        <w:t>8.3.1超细干粉自动灭火装置宜将喷放信号反馈至火灾自动报警系统。单个防护区内灭火装置数量大于或等于2具时，当收到</w:t>
      </w:r>
      <w:r>
        <w:rPr>
          <w:rFonts w:ascii="宋体" w:hAnsi="宋体" w:eastAsia="宋体" w:cs="宋体"/>
          <w:spacing w:val="-3"/>
          <w:sz w:val="21"/>
          <w:szCs w:val="21"/>
        </w:rPr>
        <w:t>2个独立的火灾报警信号时，启动该防护区内所有灭火装置。</w:t>
      </w:r>
    </w:p>
    <w:p>
      <w:pPr>
        <w:spacing w:before="78" w:line="252" w:lineRule="auto"/>
        <w:ind w:right="75"/>
        <w:rPr>
          <w:rFonts w:ascii="宋体" w:hAnsi="宋体" w:eastAsia="宋体" w:cs="宋体"/>
          <w:sz w:val="21"/>
          <w:szCs w:val="21"/>
        </w:rPr>
      </w:pPr>
      <w:r>
        <w:rPr>
          <w:rFonts w:ascii="宋体" w:hAnsi="宋体" w:eastAsia="宋体" w:cs="宋体"/>
          <w:spacing w:val="2"/>
          <w:sz w:val="21"/>
          <w:szCs w:val="21"/>
        </w:rPr>
        <w:t>8.3.2装置保护区内的孔洞应采用防火封堵材料封堵，封堵材</w:t>
      </w:r>
      <w:r>
        <w:rPr>
          <w:rFonts w:ascii="宋体" w:hAnsi="宋体" w:eastAsia="宋体" w:cs="宋体"/>
          <w:spacing w:val="6"/>
          <w:sz w:val="21"/>
          <w:szCs w:val="21"/>
        </w:rPr>
        <w:t>料耐火性能不低于结构构件的耐火极限。装置保护区内可不设</w:t>
      </w:r>
      <w:r>
        <w:rPr>
          <w:rFonts w:ascii="宋体" w:hAnsi="宋体" w:eastAsia="宋体" w:cs="宋体"/>
          <w:spacing w:val="-3"/>
          <w:sz w:val="21"/>
          <w:szCs w:val="21"/>
        </w:rPr>
        <w:t>置泄压口。</w:t>
      </w:r>
    </w:p>
    <w:p>
      <w:pPr>
        <w:spacing w:line="252" w:lineRule="auto"/>
        <w:rPr>
          <w:rFonts w:ascii="宋体" w:hAnsi="宋体" w:eastAsia="宋体" w:cs="宋体"/>
          <w:sz w:val="21"/>
          <w:szCs w:val="21"/>
        </w:rPr>
        <w:sectPr>
          <w:footerReference r:id="rId66" w:type="default"/>
          <w:pgSz w:w="8280" w:h="11850"/>
          <w:pgMar w:top="400" w:right="1165" w:bottom="1360" w:left="1200" w:header="0" w:footer="1087" w:gutter="0"/>
          <w:cols w:space="720" w:num="1"/>
        </w:sectPr>
      </w:pPr>
    </w:p>
    <w:p>
      <w:pPr>
        <w:pStyle w:val="2"/>
        <w:spacing w:line="291" w:lineRule="auto"/>
      </w:pPr>
    </w:p>
    <w:p>
      <w:pPr>
        <w:pStyle w:val="2"/>
        <w:spacing w:line="291" w:lineRule="auto"/>
      </w:pPr>
    </w:p>
    <w:p>
      <w:pPr>
        <w:pStyle w:val="2"/>
        <w:spacing w:line="292" w:lineRule="auto"/>
      </w:pPr>
    </w:p>
    <w:p>
      <w:pPr>
        <w:spacing w:before="68" w:line="250" w:lineRule="auto"/>
        <w:ind w:left="10" w:right="63" w:firstLine="10"/>
        <w:rPr>
          <w:rFonts w:ascii="宋体" w:hAnsi="宋体" w:eastAsia="宋体" w:cs="宋体"/>
          <w:sz w:val="21"/>
          <w:szCs w:val="21"/>
        </w:rPr>
      </w:pPr>
      <w:r>
        <w:rPr>
          <w:rFonts w:ascii="宋体" w:hAnsi="宋体" w:eastAsia="宋体" w:cs="宋体"/>
          <w:spacing w:val="4"/>
          <w:sz w:val="21"/>
          <w:szCs w:val="21"/>
        </w:rPr>
        <w:t>8.3.3超细干粉自动灭火装置安装高度、安装方式应便于日常</w:t>
      </w:r>
      <w:r>
        <w:rPr>
          <w:rFonts w:ascii="宋体" w:hAnsi="宋体" w:eastAsia="宋体" w:cs="宋体"/>
          <w:spacing w:val="-5"/>
          <w:sz w:val="21"/>
          <w:szCs w:val="21"/>
        </w:rPr>
        <w:t>检查和检修，安装稳固性宜考虑抗震的要求。</w:t>
      </w:r>
    </w:p>
    <w:p>
      <w:pPr>
        <w:spacing w:before="61" w:line="246" w:lineRule="auto"/>
        <w:ind w:left="10" w:hanging="10"/>
        <w:rPr>
          <w:rFonts w:ascii="宋体" w:hAnsi="宋体" w:eastAsia="宋体" w:cs="宋体"/>
          <w:sz w:val="21"/>
          <w:szCs w:val="21"/>
        </w:rPr>
      </w:pPr>
      <w:r>
        <w:rPr>
          <w:rFonts w:ascii="宋体" w:hAnsi="宋体" w:eastAsia="宋体" w:cs="宋体"/>
          <w:spacing w:val="6"/>
          <w:sz w:val="21"/>
          <w:szCs w:val="21"/>
        </w:rPr>
        <w:t>8.3.4超细干粉自动灭火装置的配置数量应按下式计算确定，</w:t>
      </w:r>
      <w:r>
        <w:rPr>
          <w:rFonts w:ascii="宋体" w:hAnsi="宋体" w:eastAsia="宋体" w:cs="宋体"/>
          <w:spacing w:val="-12"/>
          <w:sz w:val="21"/>
          <w:szCs w:val="21"/>
        </w:rPr>
        <w:t>并经圆整，取上限值：</w:t>
      </w:r>
    </w:p>
    <w:p>
      <w:pPr>
        <w:spacing w:before="174" w:line="207" w:lineRule="auto"/>
        <w:ind w:left="2160"/>
        <w:rPr>
          <w:rFonts w:ascii="宋体" w:hAnsi="宋体" w:eastAsia="宋体" w:cs="宋体"/>
          <w:sz w:val="21"/>
          <w:szCs w:val="21"/>
        </w:rPr>
      </w:pPr>
      <w:r>
        <w:rPr>
          <w:rFonts w:ascii="Times New Roman" w:hAnsi="Times New Roman" w:eastAsia="Times New Roman" w:cs="Times New Roman"/>
          <w:spacing w:val="-1"/>
          <w:sz w:val="21"/>
          <w:szCs w:val="21"/>
        </w:rPr>
        <w:t>Np=Cp·V/Mp</w:t>
      </w:r>
      <w:r>
        <w:rPr>
          <w:rFonts w:ascii="宋体" w:hAnsi="宋体" w:eastAsia="宋体" w:cs="宋体"/>
          <w:spacing w:val="-2"/>
          <w:position w:val="-1"/>
          <w:sz w:val="21"/>
          <w:szCs w:val="21"/>
        </w:rPr>
        <w:t>(8.3.4)</w:t>
      </w:r>
    </w:p>
    <w:p>
      <w:pPr>
        <w:spacing w:before="177" w:line="212" w:lineRule="auto"/>
        <w:ind w:left="20"/>
        <w:rPr>
          <w:rFonts w:ascii="宋体" w:hAnsi="宋体" w:eastAsia="宋体" w:cs="宋体"/>
          <w:sz w:val="21"/>
          <w:szCs w:val="21"/>
        </w:rPr>
      </w:pPr>
      <w:r>
        <w:rPr>
          <w:rFonts w:ascii="宋体" w:hAnsi="宋体" w:eastAsia="宋体" w:cs="宋体"/>
          <w:spacing w:val="-3"/>
          <w:sz w:val="21"/>
          <w:szCs w:val="21"/>
        </w:rPr>
        <w:t>式中：</w:t>
      </w:r>
      <w:r>
        <w:rPr>
          <w:rFonts w:ascii="Times New Roman" w:hAnsi="Times New Roman" w:eastAsia="Times New Roman" w:cs="Times New Roman"/>
          <w:spacing w:val="-3"/>
          <w:sz w:val="21"/>
          <w:szCs w:val="21"/>
        </w:rPr>
        <w:t>Np——</w:t>
      </w:r>
      <w:r>
        <w:rPr>
          <w:rFonts w:ascii="宋体" w:hAnsi="宋体" w:eastAsia="宋体" w:cs="宋体"/>
          <w:spacing w:val="-3"/>
          <w:sz w:val="21"/>
          <w:szCs w:val="21"/>
        </w:rPr>
        <w:t>超细干粉自动灭火装置的配置数量(具);</w:t>
      </w:r>
    </w:p>
    <w:p>
      <w:pPr>
        <w:spacing w:before="88" w:line="277" w:lineRule="auto"/>
        <w:ind w:left="1229" w:right="94" w:hanging="689"/>
        <w:rPr>
          <w:rFonts w:ascii="宋体" w:hAnsi="宋体" w:eastAsia="宋体" w:cs="宋体"/>
          <w:sz w:val="21"/>
          <w:szCs w:val="21"/>
        </w:rPr>
      </w:pPr>
      <w:r>
        <w:rPr>
          <w:rFonts w:ascii="Times New Roman" w:hAnsi="Times New Roman" w:eastAsia="Times New Roman" w:cs="Times New Roman"/>
          <w:sz w:val="21"/>
          <w:szCs w:val="21"/>
        </w:rPr>
        <w:t>Cp</w:t>
      </w:r>
      <w:r>
        <w:rPr>
          <w:rFonts w:ascii="Times New Roman" w:hAnsi="Times New Roman" w:eastAsia="Times New Roman" w:cs="Times New Roman"/>
          <w:spacing w:val="7"/>
          <w:sz w:val="21"/>
          <w:szCs w:val="21"/>
        </w:rPr>
        <w:t>——</w:t>
      </w:r>
      <w:r>
        <w:rPr>
          <w:rFonts w:ascii="宋体" w:hAnsi="宋体" w:eastAsia="宋体" w:cs="宋体"/>
          <w:spacing w:val="7"/>
          <w:sz w:val="21"/>
          <w:szCs w:val="21"/>
        </w:rPr>
        <w:t>干粉设计灭火浓度</w:t>
      </w:r>
      <w:r>
        <w:rPr>
          <w:rFonts w:ascii="Times New Roman" w:hAnsi="Times New Roman" w:eastAsia="Times New Roman" w:cs="Times New Roman"/>
          <w:spacing w:val="7"/>
          <w:sz w:val="21"/>
          <w:szCs w:val="21"/>
        </w:rPr>
        <w:t>(</w:t>
      </w:r>
      <w:r>
        <w:rPr>
          <w:rFonts w:ascii="Times New Roman" w:hAnsi="Times New Roman" w:eastAsia="Times New Roman" w:cs="Times New Roman"/>
          <w:sz w:val="21"/>
          <w:szCs w:val="21"/>
        </w:rPr>
        <w:t>kg</w:t>
      </w:r>
      <w:r>
        <w:rPr>
          <w:rFonts w:ascii="Times New Roman" w:hAnsi="Times New Roman" w:eastAsia="Times New Roman" w:cs="Times New Roman"/>
          <w:spacing w:val="7"/>
          <w:sz w:val="21"/>
          <w:szCs w:val="21"/>
        </w:rPr>
        <w:t>/m³),</w:t>
      </w:r>
      <w:r>
        <w:rPr>
          <w:rFonts w:ascii="宋体" w:hAnsi="宋体" w:eastAsia="宋体" w:cs="宋体"/>
          <w:spacing w:val="7"/>
          <w:sz w:val="21"/>
          <w:szCs w:val="21"/>
        </w:rPr>
        <w:t>其值不应小于经权威</w:t>
      </w:r>
      <w:r>
        <w:rPr>
          <w:rFonts w:ascii="宋体" w:hAnsi="宋体" w:eastAsia="宋体" w:cs="宋体"/>
          <w:spacing w:val="6"/>
          <w:sz w:val="21"/>
          <w:szCs w:val="21"/>
        </w:rPr>
        <w:t>机构认证合格的灭火浓度的1.2倍；</w:t>
      </w:r>
    </w:p>
    <w:p>
      <w:pPr>
        <w:spacing w:line="212" w:lineRule="auto"/>
        <w:ind w:left="620"/>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V——</w:t>
      </w:r>
      <w:r>
        <w:rPr>
          <w:rFonts w:ascii="宋体" w:hAnsi="宋体" w:eastAsia="宋体" w:cs="宋体"/>
          <w:spacing w:val="3"/>
          <w:sz w:val="21"/>
          <w:szCs w:val="21"/>
        </w:rPr>
        <w:t>防护区净容积</w:t>
      </w:r>
      <w:r>
        <w:rPr>
          <w:rFonts w:ascii="Times New Roman" w:hAnsi="Times New Roman" w:eastAsia="Times New Roman" w:cs="Times New Roman"/>
          <w:spacing w:val="3"/>
          <w:sz w:val="21"/>
          <w:szCs w:val="21"/>
        </w:rPr>
        <w:t>(m³);</w:t>
      </w:r>
    </w:p>
    <w:p>
      <w:pPr>
        <w:spacing w:before="95" w:line="214" w:lineRule="auto"/>
        <w:ind w:left="479"/>
        <w:rPr>
          <w:rFonts w:ascii="宋体" w:hAnsi="宋体" w:eastAsia="宋体" w:cs="宋体"/>
          <w:sz w:val="21"/>
          <w:szCs w:val="21"/>
        </w:rPr>
      </w:pPr>
      <w:r>
        <w:rPr>
          <w:rFonts w:ascii="宋体" w:hAnsi="宋体" w:eastAsia="宋体" w:cs="宋体"/>
          <w:sz w:val="21"/>
          <w:szCs w:val="21"/>
        </w:rPr>
        <w:t>Mp</w:t>
      </w:r>
      <w:r>
        <w:rPr>
          <w:rFonts w:ascii="宋体" w:hAnsi="宋体" w:eastAsia="宋体" w:cs="宋体"/>
          <w:spacing w:val="2"/>
          <w:sz w:val="21"/>
          <w:szCs w:val="21"/>
        </w:rPr>
        <w:t>——单具超细干粉自动灭火装置的充装量(</w:t>
      </w:r>
      <w:r>
        <w:rPr>
          <w:rFonts w:ascii="宋体" w:hAnsi="宋体" w:eastAsia="宋体" w:cs="宋体"/>
          <w:sz w:val="21"/>
          <w:szCs w:val="21"/>
        </w:rPr>
        <w:t>kg</w:t>
      </w:r>
      <w:r>
        <w:rPr>
          <w:rFonts w:ascii="宋体" w:hAnsi="宋体" w:eastAsia="宋体" w:cs="宋体"/>
          <w:spacing w:val="2"/>
          <w:sz w:val="21"/>
          <w:szCs w:val="21"/>
        </w:rPr>
        <w:t>)。</w:t>
      </w:r>
    </w:p>
    <w:p>
      <w:pPr>
        <w:spacing w:line="214" w:lineRule="auto"/>
        <w:rPr>
          <w:rFonts w:ascii="宋体" w:hAnsi="宋体" w:eastAsia="宋体" w:cs="宋体"/>
          <w:sz w:val="21"/>
          <w:szCs w:val="21"/>
        </w:rPr>
        <w:sectPr>
          <w:footerReference r:id="rId67" w:type="default"/>
          <w:pgSz w:w="8280" w:h="11850"/>
          <w:pgMar w:top="400" w:right="1114" w:bottom="1300" w:left="1190" w:header="0" w:footer="1027" w:gutter="0"/>
          <w:cols w:space="720" w:num="1"/>
        </w:sectPr>
      </w:pPr>
    </w:p>
    <w:p>
      <w:pPr>
        <w:pStyle w:val="2"/>
        <w:spacing w:line="283" w:lineRule="auto"/>
      </w:pPr>
    </w:p>
    <w:p>
      <w:pPr>
        <w:pStyle w:val="2"/>
        <w:spacing w:line="283" w:lineRule="auto"/>
      </w:pPr>
    </w:p>
    <w:p>
      <w:pPr>
        <w:pStyle w:val="2"/>
        <w:spacing w:line="283" w:lineRule="auto"/>
      </w:pPr>
    </w:p>
    <w:p>
      <w:pPr>
        <w:pStyle w:val="2"/>
        <w:spacing w:line="283" w:lineRule="auto"/>
      </w:pPr>
    </w:p>
    <w:p>
      <w:pPr>
        <w:pStyle w:val="2"/>
        <w:spacing w:line="283" w:lineRule="auto"/>
      </w:pPr>
    </w:p>
    <w:p>
      <w:pPr>
        <w:spacing w:before="91" w:line="221" w:lineRule="auto"/>
        <w:ind w:left="1953"/>
        <w:outlineLvl w:val="0"/>
        <w:rPr>
          <w:rFonts w:ascii="黑体" w:hAnsi="黑体" w:eastAsia="黑体" w:cs="黑体"/>
          <w:sz w:val="28"/>
          <w:szCs w:val="28"/>
        </w:rPr>
      </w:pPr>
      <w:bookmarkStart w:id="50" w:name="bookmark32"/>
      <w:bookmarkEnd w:id="50"/>
      <w:r>
        <w:rPr>
          <w:rFonts w:ascii="黑体" w:hAnsi="黑体" w:eastAsia="黑体" w:cs="黑体"/>
          <w:b/>
          <w:bCs/>
          <w:spacing w:val="-5"/>
          <w:sz w:val="28"/>
          <w:szCs w:val="28"/>
        </w:rPr>
        <w:t>本标准用词说明</w:t>
      </w:r>
    </w:p>
    <w:p>
      <w:pPr>
        <w:pStyle w:val="2"/>
        <w:spacing w:line="296" w:lineRule="auto"/>
      </w:pPr>
    </w:p>
    <w:p>
      <w:pPr>
        <w:pStyle w:val="2"/>
        <w:spacing w:line="296" w:lineRule="auto"/>
      </w:pPr>
    </w:p>
    <w:p>
      <w:pPr>
        <w:spacing w:before="61" w:line="306" w:lineRule="auto"/>
        <w:ind w:right="24" w:firstLine="419"/>
        <w:rPr>
          <w:rFonts w:ascii="宋体" w:hAnsi="宋体" w:eastAsia="宋体" w:cs="宋体"/>
          <w:sz w:val="19"/>
          <w:szCs w:val="19"/>
        </w:rPr>
      </w:pPr>
      <w:r>
        <w:rPr>
          <w:rFonts w:ascii="宋体" w:hAnsi="宋体" w:eastAsia="宋体" w:cs="宋体"/>
          <w:spacing w:val="21"/>
          <w:sz w:val="19"/>
          <w:szCs w:val="19"/>
        </w:rPr>
        <w:t>1为便于在执行本标准条文时区别对待，对要求严格</w:t>
      </w:r>
      <w:r>
        <w:rPr>
          <w:rFonts w:ascii="宋体" w:hAnsi="宋体" w:eastAsia="宋体" w:cs="宋体"/>
          <w:spacing w:val="20"/>
          <w:sz w:val="19"/>
          <w:szCs w:val="19"/>
        </w:rPr>
        <w:t>程度</w:t>
      </w:r>
      <w:r>
        <w:rPr>
          <w:rFonts w:ascii="宋体" w:hAnsi="宋体" w:eastAsia="宋体" w:cs="宋体"/>
          <w:spacing w:val="15"/>
          <w:sz w:val="19"/>
          <w:szCs w:val="19"/>
        </w:rPr>
        <w:t>不同的用词说明如下：</w:t>
      </w:r>
    </w:p>
    <w:p>
      <w:pPr>
        <w:spacing w:line="219" w:lineRule="auto"/>
        <w:ind w:left="639"/>
        <w:rPr>
          <w:rFonts w:ascii="宋体" w:hAnsi="宋体" w:eastAsia="宋体" w:cs="宋体"/>
          <w:sz w:val="19"/>
          <w:szCs w:val="19"/>
        </w:rPr>
      </w:pPr>
      <w:r>
        <w:rPr>
          <w:rFonts w:ascii="宋体" w:hAnsi="宋体" w:eastAsia="宋体" w:cs="宋体"/>
          <w:spacing w:val="14"/>
          <w:sz w:val="19"/>
          <w:szCs w:val="19"/>
        </w:rPr>
        <w:t>1)表示很严格，非这样做不可的用词：</w:t>
      </w:r>
    </w:p>
    <w:p>
      <w:pPr>
        <w:spacing w:before="93" w:line="219" w:lineRule="auto"/>
        <w:ind w:left="919"/>
        <w:rPr>
          <w:rFonts w:ascii="宋体" w:hAnsi="宋体" w:eastAsia="宋体" w:cs="宋体"/>
          <w:sz w:val="19"/>
          <w:szCs w:val="19"/>
        </w:rPr>
      </w:pPr>
      <w:r>
        <w:rPr>
          <w:rFonts w:ascii="宋体" w:hAnsi="宋体" w:eastAsia="宋体" w:cs="宋体"/>
          <w:spacing w:val="-2"/>
          <w:sz w:val="19"/>
          <w:szCs w:val="19"/>
        </w:rPr>
        <w:t>正面词采用“必须”;</w:t>
      </w:r>
    </w:p>
    <w:p>
      <w:pPr>
        <w:spacing w:before="94" w:line="219" w:lineRule="auto"/>
        <w:ind w:left="919"/>
        <w:rPr>
          <w:rFonts w:ascii="宋体" w:hAnsi="宋体" w:eastAsia="宋体" w:cs="宋体"/>
          <w:sz w:val="19"/>
          <w:szCs w:val="19"/>
        </w:rPr>
      </w:pPr>
      <w:r>
        <w:rPr>
          <w:rFonts w:ascii="宋体" w:hAnsi="宋体" w:eastAsia="宋体" w:cs="宋体"/>
          <w:spacing w:val="-6"/>
          <w:sz w:val="19"/>
          <w:szCs w:val="19"/>
        </w:rPr>
        <w:t>反面词采用“严禁”。</w:t>
      </w:r>
    </w:p>
    <w:p>
      <w:pPr>
        <w:spacing w:before="76" w:line="219" w:lineRule="auto"/>
        <w:ind w:left="639"/>
        <w:rPr>
          <w:rFonts w:ascii="宋体" w:hAnsi="宋体" w:eastAsia="宋体" w:cs="宋体"/>
          <w:sz w:val="19"/>
          <w:szCs w:val="19"/>
        </w:rPr>
      </w:pPr>
      <w:r>
        <w:rPr>
          <w:rFonts w:ascii="宋体" w:hAnsi="宋体" w:eastAsia="宋体" w:cs="宋体"/>
          <w:spacing w:val="15"/>
          <w:sz w:val="19"/>
          <w:szCs w:val="19"/>
        </w:rPr>
        <w:t>2)表示严格，在正常情况下均应这样做的用词：</w:t>
      </w:r>
    </w:p>
    <w:p>
      <w:pPr>
        <w:spacing w:before="103" w:line="219" w:lineRule="auto"/>
        <w:ind w:left="919"/>
        <w:rPr>
          <w:rFonts w:ascii="宋体" w:hAnsi="宋体" w:eastAsia="宋体" w:cs="宋体"/>
          <w:sz w:val="19"/>
          <w:szCs w:val="19"/>
        </w:rPr>
      </w:pPr>
      <w:r>
        <w:rPr>
          <w:rFonts w:ascii="宋体" w:hAnsi="宋体" w:eastAsia="宋体" w:cs="宋体"/>
          <w:spacing w:val="-4"/>
          <w:sz w:val="19"/>
          <w:szCs w:val="19"/>
        </w:rPr>
        <w:t>正面词采用“应”;</w:t>
      </w:r>
    </w:p>
    <w:p>
      <w:pPr>
        <w:spacing w:before="95" w:line="219" w:lineRule="auto"/>
        <w:ind w:left="919"/>
        <w:rPr>
          <w:rFonts w:ascii="宋体" w:hAnsi="宋体" w:eastAsia="宋体" w:cs="宋体"/>
          <w:sz w:val="19"/>
          <w:szCs w:val="19"/>
        </w:rPr>
      </w:pPr>
      <w:r>
        <w:rPr>
          <w:rFonts w:ascii="宋体" w:hAnsi="宋体" w:eastAsia="宋体" w:cs="宋体"/>
          <w:spacing w:val="-10"/>
          <w:sz w:val="19"/>
          <w:szCs w:val="19"/>
        </w:rPr>
        <w:t>反面词采用“不应”或“不得”。</w:t>
      </w:r>
    </w:p>
    <w:p>
      <w:pPr>
        <w:spacing w:before="66" w:line="314" w:lineRule="auto"/>
        <w:ind w:left="919" w:right="20" w:hanging="280"/>
        <w:rPr>
          <w:rFonts w:ascii="宋体" w:hAnsi="宋体" w:eastAsia="宋体" w:cs="宋体"/>
          <w:sz w:val="19"/>
          <w:szCs w:val="19"/>
        </w:rPr>
      </w:pPr>
      <w:r>
        <w:rPr>
          <w:rFonts w:ascii="宋体" w:hAnsi="宋体" w:eastAsia="宋体" w:cs="宋体"/>
          <w:spacing w:val="34"/>
          <w:sz w:val="19"/>
          <w:szCs w:val="19"/>
        </w:rPr>
        <w:t>3)表示允许稍有选择，在条件许可时首先应这样做的</w:t>
      </w:r>
      <w:r>
        <w:rPr>
          <w:rFonts w:ascii="宋体" w:hAnsi="宋体" w:eastAsia="宋体" w:cs="宋体"/>
          <w:spacing w:val="8"/>
          <w:sz w:val="19"/>
          <w:szCs w:val="19"/>
        </w:rPr>
        <w:t>用词：</w:t>
      </w:r>
    </w:p>
    <w:p>
      <w:pPr>
        <w:spacing w:line="218" w:lineRule="auto"/>
        <w:ind w:left="922"/>
        <w:rPr>
          <w:rFonts w:ascii="宋体" w:hAnsi="宋体" w:eastAsia="宋体" w:cs="宋体"/>
          <w:sz w:val="19"/>
          <w:szCs w:val="19"/>
        </w:rPr>
      </w:pPr>
      <w:r>
        <w:rPr>
          <w:rFonts w:ascii="宋体" w:hAnsi="宋体" w:eastAsia="宋体" w:cs="宋体"/>
          <w:b/>
          <w:bCs/>
          <w:spacing w:val="-7"/>
          <w:sz w:val="19"/>
          <w:szCs w:val="19"/>
        </w:rPr>
        <w:t>正面词采用“宜”;</w:t>
      </w:r>
    </w:p>
    <w:p>
      <w:pPr>
        <w:spacing w:before="85" w:line="219" w:lineRule="auto"/>
        <w:ind w:left="922"/>
        <w:rPr>
          <w:rFonts w:ascii="宋体" w:hAnsi="宋体" w:eastAsia="宋体" w:cs="宋体"/>
          <w:sz w:val="19"/>
          <w:szCs w:val="19"/>
        </w:rPr>
      </w:pPr>
      <w:r>
        <w:rPr>
          <w:rFonts w:ascii="宋体" w:hAnsi="宋体" w:eastAsia="宋体" w:cs="宋体"/>
          <w:b/>
          <w:bCs/>
          <w:spacing w:val="-9"/>
          <w:sz w:val="19"/>
          <w:szCs w:val="19"/>
        </w:rPr>
        <w:t>反面词采用“不宜”。</w:t>
      </w:r>
    </w:p>
    <w:p>
      <w:pPr>
        <w:spacing w:before="76" w:line="306" w:lineRule="auto"/>
        <w:ind w:left="826" w:right="15" w:hanging="184"/>
        <w:rPr>
          <w:rFonts w:ascii="宋体" w:hAnsi="宋体" w:eastAsia="宋体" w:cs="宋体"/>
          <w:sz w:val="19"/>
          <w:szCs w:val="19"/>
        </w:rPr>
      </w:pPr>
      <w:r>
        <w:rPr>
          <w:rFonts w:ascii="宋体" w:hAnsi="宋体" w:eastAsia="宋体" w:cs="宋体"/>
          <w:b/>
          <w:bCs/>
          <w:spacing w:val="22"/>
          <w:sz w:val="19"/>
          <w:szCs w:val="19"/>
        </w:rPr>
        <w:t>4)表示有选择，在一定条件下可以这样做的用词</w:t>
      </w:r>
      <w:r>
        <w:rPr>
          <w:rFonts w:ascii="宋体" w:hAnsi="宋体" w:eastAsia="宋体" w:cs="宋体"/>
          <w:b/>
          <w:bCs/>
          <w:spacing w:val="21"/>
          <w:sz w:val="19"/>
          <w:szCs w:val="19"/>
        </w:rPr>
        <w:t>，采用</w:t>
      </w:r>
      <w:r>
        <w:rPr>
          <w:rFonts w:ascii="宋体" w:hAnsi="宋体" w:eastAsia="宋体" w:cs="宋体"/>
          <w:b/>
          <w:bCs/>
          <w:spacing w:val="-17"/>
          <w:sz w:val="19"/>
          <w:szCs w:val="19"/>
        </w:rPr>
        <w:t>“可”。</w:t>
      </w:r>
    </w:p>
    <w:p>
      <w:pPr>
        <w:spacing w:before="1" w:line="322" w:lineRule="auto"/>
        <w:ind w:left="22" w:firstLine="420"/>
        <w:rPr>
          <w:rFonts w:ascii="宋体" w:hAnsi="宋体" w:eastAsia="宋体" w:cs="宋体"/>
          <w:sz w:val="19"/>
          <w:szCs w:val="19"/>
        </w:rPr>
      </w:pPr>
      <w:r>
        <w:rPr>
          <w:rFonts w:ascii="宋体" w:hAnsi="宋体" w:eastAsia="宋体" w:cs="宋体"/>
          <w:b/>
          <w:bCs/>
          <w:spacing w:val="11"/>
          <w:sz w:val="19"/>
          <w:szCs w:val="19"/>
        </w:rPr>
        <w:t>2标准中指明应按其他有关标准、规范执行时，写法为“应</w:t>
      </w:r>
      <w:r>
        <w:rPr>
          <w:rFonts w:ascii="宋体" w:hAnsi="宋体" w:eastAsia="宋体" w:cs="宋体"/>
          <w:b/>
          <w:bCs/>
          <w:spacing w:val="2"/>
          <w:sz w:val="19"/>
          <w:szCs w:val="19"/>
        </w:rPr>
        <w:t>符合……的规定(或要求)”或“应按……执</w:t>
      </w:r>
      <w:r>
        <w:rPr>
          <w:rFonts w:ascii="宋体" w:hAnsi="宋体" w:eastAsia="宋体" w:cs="宋体"/>
          <w:b/>
          <w:bCs/>
          <w:spacing w:val="1"/>
          <w:sz w:val="19"/>
          <w:szCs w:val="19"/>
        </w:rPr>
        <w:t>行”。</w:t>
      </w: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2" w:lineRule="auto"/>
      </w:pPr>
    </w:p>
    <w:p>
      <w:pPr>
        <w:pStyle w:val="2"/>
        <w:spacing w:line="243" w:lineRule="auto"/>
      </w:pPr>
    </w:p>
    <w:p>
      <w:pPr>
        <w:spacing w:before="78"/>
        <w:ind w:left="119"/>
        <w:rPr>
          <w:rFonts w:hint="eastAsia" w:ascii="宋体" w:hAnsi="宋体" w:eastAsia="宋体" w:cs="宋体"/>
          <w:sz w:val="24"/>
          <w:szCs w:val="24"/>
          <w:lang w:eastAsia="zh-CN"/>
        </w:rPr>
      </w:pPr>
      <w:r>
        <w:rPr>
          <w:rFonts w:ascii="宋体" w:hAnsi="宋体" w:eastAsia="宋体" w:cs="宋体"/>
          <w:spacing w:val="-2"/>
          <w:sz w:val="24"/>
          <w:szCs w:val="24"/>
        </w:rPr>
        <w:t>—52—</w:t>
      </w:r>
    </w:p>
    <w:p>
      <w:pPr>
        <w:rPr>
          <w:rFonts w:ascii="宋体" w:hAnsi="宋体" w:eastAsia="宋体" w:cs="宋体"/>
          <w:sz w:val="24"/>
          <w:szCs w:val="24"/>
        </w:rPr>
        <w:sectPr>
          <w:footerReference r:id="rId68" w:type="default"/>
          <w:pgSz w:w="8280" w:h="11850"/>
          <w:pgMar w:top="400" w:right="1214" w:bottom="400" w:left="1210" w:header="0" w:footer="0" w:gutter="0"/>
          <w:cols w:space="720" w:num="1"/>
        </w:sectPr>
      </w:pPr>
    </w:p>
    <w:p>
      <w:pPr>
        <w:pStyle w:val="2"/>
        <w:spacing w:line="253" w:lineRule="auto"/>
      </w:pPr>
    </w:p>
    <w:p>
      <w:pPr>
        <w:pStyle w:val="2"/>
        <w:spacing w:line="253" w:lineRule="auto"/>
      </w:pPr>
    </w:p>
    <w:p>
      <w:pPr>
        <w:pStyle w:val="2"/>
        <w:spacing w:line="253" w:lineRule="auto"/>
      </w:pPr>
    </w:p>
    <w:p>
      <w:pPr>
        <w:pStyle w:val="2"/>
        <w:spacing w:line="253" w:lineRule="auto"/>
      </w:pPr>
    </w:p>
    <w:p>
      <w:pPr>
        <w:pStyle w:val="2"/>
        <w:spacing w:line="253" w:lineRule="auto"/>
      </w:pPr>
    </w:p>
    <w:p>
      <w:pPr>
        <w:pStyle w:val="2"/>
        <w:spacing w:line="254" w:lineRule="auto"/>
      </w:pPr>
    </w:p>
    <w:p>
      <w:pPr>
        <w:spacing w:before="91" w:line="222" w:lineRule="auto"/>
        <w:ind w:left="1888"/>
        <w:outlineLvl w:val="0"/>
        <w:rPr>
          <w:rFonts w:ascii="黑体" w:hAnsi="黑体" w:eastAsia="黑体" w:cs="黑体"/>
          <w:sz w:val="28"/>
          <w:szCs w:val="28"/>
        </w:rPr>
      </w:pPr>
      <w:bookmarkStart w:id="51" w:name="bookmark33"/>
      <w:bookmarkEnd w:id="51"/>
      <w:r>
        <w:rPr>
          <w:rFonts w:ascii="黑体" w:hAnsi="黑体" w:eastAsia="黑体" w:cs="黑体"/>
          <w:spacing w:val="-5"/>
          <w:sz w:val="28"/>
          <w:szCs w:val="28"/>
        </w:rPr>
        <w:t>引用标准名录</w:t>
      </w:r>
    </w:p>
    <w:p>
      <w:pPr>
        <w:pStyle w:val="2"/>
        <w:spacing w:line="290" w:lineRule="auto"/>
      </w:pPr>
    </w:p>
    <w:p>
      <w:pPr>
        <w:pStyle w:val="2"/>
        <w:spacing w:line="291" w:lineRule="auto"/>
      </w:pPr>
    </w:p>
    <w:p>
      <w:pPr>
        <w:spacing w:before="68" w:line="220" w:lineRule="auto"/>
        <w:ind w:left="157"/>
        <w:rPr>
          <w:rFonts w:ascii="宋体" w:hAnsi="宋体" w:eastAsia="宋体" w:cs="宋体"/>
          <w:sz w:val="21"/>
          <w:szCs w:val="21"/>
        </w:rPr>
      </w:pPr>
      <w:r>
        <w:rPr>
          <w:rFonts w:ascii="宋体" w:hAnsi="宋体" w:eastAsia="宋体" w:cs="宋体"/>
          <w:spacing w:val="1"/>
          <w:sz w:val="21"/>
          <w:szCs w:val="21"/>
        </w:rPr>
        <w:t>1《消防设施通用规范》</w:t>
      </w:r>
      <w:r>
        <w:rPr>
          <w:rFonts w:ascii="宋体" w:hAnsi="宋体" w:eastAsia="宋体" w:cs="宋体"/>
          <w:sz w:val="21"/>
          <w:szCs w:val="21"/>
        </w:rPr>
        <w:t>GB</w:t>
      </w:r>
      <w:r>
        <w:rPr>
          <w:rFonts w:ascii="宋体" w:hAnsi="宋体" w:eastAsia="宋体" w:cs="宋体"/>
          <w:spacing w:val="1"/>
          <w:sz w:val="21"/>
          <w:szCs w:val="21"/>
        </w:rPr>
        <w:t>55036</w:t>
      </w:r>
    </w:p>
    <w:p>
      <w:pPr>
        <w:spacing w:before="69"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2</w:t>
      </w:r>
      <w:r>
        <w:rPr>
          <w:rFonts w:ascii="宋体" w:hAnsi="宋体" w:eastAsia="宋体" w:cs="宋体"/>
          <w:spacing w:val="-4"/>
          <w:sz w:val="21"/>
          <w:szCs w:val="21"/>
        </w:rPr>
        <w:t>《建筑防火通用规范》</w:t>
      </w:r>
      <w:r>
        <w:rPr>
          <w:rFonts w:ascii="Times New Roman" w:hAnsi="Times New Roman" w:eastAsia="Times New Roman" w:cs="Times New Roman"/>
          <w:spacing w:val="-4"/>
          <w:sz w:val="21"/>
          <w:szCs w:val="21"/>
        </w:rPr>
        <w:t>GB55037</w:t>
      </w:r>
    </w:p>
    <w:p>
      <w:pPr>
        <w:spacing w:before="69"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3</w:t>
      </w:r>
      <w:r>
        <w:rPr>
          <w:rFonts w:ascii="宋体" w:hAnsi="宋体" w:eastAsia="宋体" w:cs="宋体"/>
          <w:spacing w:val="-6"/>
          <w:sz w:val="21"/>
          <w:szCs w:val="21"/>
        </w:rPr>
        <w:t>《干粉灭火剂》</w:t>
      </w:r>
      <w:r>
        <w:rPr>
          <w:rFonts w:ascii="Times New Roman" w:hAnsi="Times New Roman" w:eastAsia="Times New Roman" w:cs="Times New Roman"/>
          <w:spacing w:val="-6"/>
          <w:sz w:val="21"/>
          <w:szCs w:val="21"/>
        </w:rPr>
        <w:t>GB4066</w:t>
      </w:r>
    </w:p>
    <w:p>
      <w:pPr>
        <w:spacing w:before="70"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4</w:t>
      </w:r>
      <w:r>
        <w:rPr>
          <w:rFonts w:ascii="宋体" w:hAnsi="宋体" w:eastAsia="宋体" w:cs="宋体"/>
          <w:spacing w:val="-5"/>
          <w:sz w:val="21"/>
          <w:szCs w:val="21"/>
        </w:rPr>
        <w:t>《二氧化碳灭火剂》</w:t>
      </w:r>
      <w:r>
        <w:rPr>
          <w:rFonts w:ascii="Times New Roman" w:hAnsi="Times New Roman" w:eastAsia="Times New Roman" w:cs="Times New Roman"/>
          <w:spacing w:val="-5"/>
          <w:sz w:val="21"/>
          <w:szCs w:val="21"/>
        </w:rPr>
        <w:t>GB4396</w:t>
      </w:r>
    </w:p>
    <w:sdt>
      <w:sdtPr>
        <w:rPr>
          <w:rFonts w:ascii="Times New Roman" w:hAnsi="Times New Roman" w:eastAsia="Times New Roman" w:cs="Times New Roman"/>
          <w:sz w:val="21"/>
          <w:szCs w:val="21"/>
        </w:rPr>
        <w:id w:val="5"/>
        <w:docPartObj>
          <w:docPartGallery w:val="Table of Contents"/>
          <w:docPartUnique/>
        </w:docPartObj>
      </w:sdtPr>
      <w:sdtEndPr>
        <w:rPr>
          <w:rFonts w:ascii="Times New Roman" w:hAnsi="Times New Roman" w:eastAsia="Times New Roman" w:cs="Times New Roman"/>
          <w:sz w:val="21"/>
          <w:szCs w:val="21"/>
        </w:rPr>
      </w:sdtEndPr>
      <w:sdtContent>
        <w:p>
          <w:pPr>
            <w:spacing w:before="62"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5</w:t>
          </w:r>
          <w:r>
            <w:rPr>
              <w:rFonts w:ascii="宋体" w:hAnsi="宋体" w:eastAsia="宋体" w:cs="宋体"/>
              <w:spacing w:val="-4"/>
              <w:sz w:val="21"/>
              <w:szCs w:val="21"/>
            </w:rPr>
            <w:t>《高压锅炉用无缝钢管》</w:t>
          </w:r>
          <w:r>
            <w:rPr>
              <w:rFonts w:ascii="Times New Roman" w:hAnsi="Times New Roman" w:eastAsia="Times New Roman" w:cs="Times New Roman"/>
              <w:spacing w:val="-4"/>
              <w:sz w:val="21"/>
              <w:szCs w:val="21"/>
            </w:rPr>
            <w:t>GB/T5310</w:t>
          </w:r>
        </w:p>
        <w:p>
          <w:pPr>
            <w:spacing w:before="7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6</w:t>
          </w:r>
          <w:r>
            <w:rPr>
              <w:rFonts w:ascii="宋体" w:hAnsi="宋体" w:eastAsia="宋体" w:cs="宋体"/>
              <w:spacing w:val="-4"/>
              <w:sz w:val="21"/>
              <w:szCs w:val="21"/>
            </w:rPr>
            <w:t>《输送流体用无缝钢管》</w:t>
          </w:r>
          <w:r>
            <w:rPr>
              <w:rFonts w:ascii="Times New Roman" w:hAnsi="Times New Roman" w:eastAsia="Times New Roman" w:cs="Times New Roman"/>
              <w:spacing w:val="-4"/>
              <w:sz w:val="21"/>
              <w:szCs w:val="21"/>
            </w:rPr>
            <w:t>GB/T8163</w:t>
          </w:r>
        </w:p>
      </w:sdtContent>
    </w:sdt>
    <w:p>
      <w:pPr>
        <w:spacing w:before="47" w:line="212"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《七氟丙烷</w:t>
      </w:r>
      <w:r>
        <w:rPr>
          <w:rFonts w:ascii="Times New Roman" w:hAnsi="Times New Roman" w:eastAsia="Times New Roman" w:cs="Times New Roman"/>
          <w:spacing w:val="-3"/>
          <w:sz w:val="21"/>
          <w:szCs w:val="21"/>
        </w:rPr>
        <w:t>(HFC227ca)</w:t>
      </w:r>
      <w:r>
        <w:rPr>
          <w:rFonts w:ascii="宋体" w:hAnsi="宋体" w:eastAsia="宋体" w:cs="宋体"/>
          <w:spacing w:val="-3"/>
          <w:sz w:val="21"/>
          <w:szCs w:val="21"/>
        </w:rPr>
        <w:t>灭火剂》</w:t>
      </w:r>
      <w:r>
        <w:rPr>
          <w:rFonts w:ascii="Times New Roman" w:hAnsi="Times New Roman" w:eastAsia="Times New Roman" w:cs="Times New Roman"/>
          <w:spacing w:val="-3"/>
          <w:sz w:val="21"/>
          <w:szCs w:val="21"/>
        </w:rPr>
        <w:t>GB18</w:t>
      </w:r>
      <w:r>
        <w:rPr>
          <w:rFonts w:ascii="Times New Roman" w:hAnsi="Times New Roman" w:eastAsia="Times New Roman" w:cs="Times New Roman"/>
          <w:spacing w:val="-4"/>
          <w:sz w:val="21"/>
          <w:szCs w:val="21"/>
        </w:rPr>
        <w:t>614</w:t>
      </w:r>
    </w:p>
    <w:p>
      <w:pPr>
        <w:spacing w:before="93"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8</w:t>
      </w:r>
      <w:r>
        <w:rPr>
          <w:rFonts w:ascii="宋体" w:hAnsi="宋体" w:eastAsia="宋体" w:cs="宋体"/>
          <w:spacing w:val="-5"/>
          <w:sz w:val="21"/>
          <w:szCs w:val="21"/>
        </w:rPr>
        <w:t>《气体灭火系统及部件》</w:t>
      </w:r>
      <w:r>
        <w:rPr>
          <w:rFonts w:ascii="Times New Roman" w:hAnsi="Times New Roman" w:eastAsia="Times New Roman" w:cs="Times New Roman"/>
          <w:spacing w:val="-5"/>
          <w:sz w:val="21"/>
          <w:szCs w:val="21"/>
        </w:rPr>
        <w:t>GB25972</w:t>
      </w:r>
    </w:p>
    <w:p>
      <w:pPr>
        <w:spacing w:before="7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9</w:t>
      </w:r>
      <w:r>
        <w:rPr>
          <w:rFonts w:ascii="宋体" w:hAnsi="宋体" w:eastAsia="宋体" w:cs="宋体"/>
          <w:spacing w:val="-5"/>
          <w:sz w:val="21"/>
          <w:szCs w:val="21"/>
        </w:rPr>
        <w:t>《建筑给水排水设计标准》</w:t>
      </w:r>
      <w:r>
        <w:rPr>
          <w:rFonts w:ascii="Times New Roman" w:hAnsi="Times New Roman" w:eastAsia="Times New Roman" w:cs="Times New Roman"/>
          <w:spacing w:val="-5"/>
          <w:sz w:val="21"/>
          <w:szCs w:val="21"/>
        </w:rPr>
        <w:t>GB50015</w:t>
      </w:r>
    </w:p>
    <w:p>
      <w:pPr>
        <w:spacing w:before="70"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10</w:t>
      </w:r>
      <w:r>
        <w:rPr>
          <w:rFonts w:ascii="宋体" w:hAnsi="宋体" w:eastAsia="宋体" w:cs="宋体"/>
          <w:spacing w:val="-5"/>
          <w:sz w:val="21"/>
          <w:szCs w:val="21"/>
        </w:rPr>
        <w:t>《建筑设计防火规范》</w:t>
      </w:r>
      <w:r>
        <w:rPr>
          <w:rFonts w:ascii="Times New Roman" w:hAnsi="Times New Roman" w:eastAsia="Times New Roman" w:cs="Times New Roman"/>
          <w:spacing w:val="-5"/>
          <w:sz w:val="21"/>
          <w:szCs w:val="21"/>
        </w:rPr>
        <w:t>GB50016</w:t>
      </w:r>
    </w:p>
    <w:p>
      <w:pPr>
        <w:spacing w:before="7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11</w:t>
      </w:r>
      <w:r>
        <w:rPr>
          <w:rFonts w:ascii="宋体" w:hAnsi="宋体" w:eastAsia="宋体" w:cs="宋体"/>
          <w:spacing w:val="-4"/>
          <w:sz w:val="21"/>
          <w:szCs w:val="21"/>
        </w:rPr>
        <w:t>《自动喷水灭火系统设计规范》</w:t>
      </w:r>
      <w:r>
        <w:rPr>
          <w:rFonts w:ascii="Times New Roman" w:hAnsi="Times New Roman" w:eastAsia="Times New Roman" w:cs="Times New Roman"/>
          <w:spacing w:val="-4"/>
          <w:sz w:val="21"/>
          <w:szCs w:val="21"/>
        </w:rPr>
        <w:t>GB50084</w:t>
      </w:r>
    </w:p>
    <w:p>
      <w:pPr>
        <w:spacing w:before="7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12</w:t>
      </w:r>
      <w:r>
        <w:rPr>
          <w:rFonts w:ascii="宋体" w:hAnsi="宋体" w:eastAsia="宋体" w:cs="宋体"/>
          <w:spacing w:val="-5"/>
          <w:sz w:val="21"/>
          <w:szCs w:val="21"/>
        </w:rPr>
        <w:t>《火灾自动报警系统设计规范》</w:t>
      </w:r>
      <w:r>
        <w:rPr>
          <w:rFonts w:ascii="Times New Roman" w:hAnsi="Times New Roman" w:eastAsia="Times New Roman" w:cs="Times New Roman"/>
          <w:spacing w:val="-5"/>
          <w:sz w:val="21"/>
          <w:szCs w:val="21"/>
        </w:rPr>
        <w:t>GB50116</w:t>
      </w:r>
    </w:p>
    <w:p>
      <w:pPr>
        <w:spacing w:before="70"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13</w:t>
      </w:r>
      <w:r>
        <w:rPr>
          <w:rFonts w:ascii="宋体" w:hAnsi="宋体" w:eastAsia="宋体" w:cs="宋体"/>
          <w:spacing w:val="-5"/>
          <w:sz w:val="21"/>
          <w:szCs w:val="21"/>
        </w:rPr>
        <w:t>《二氧化碳灭火系统设计规范》</w:t>
      </w:r>
      <w:r>
        <w:rPr>
          <w:rFonts w:ascii="Times New Roman" w:hAnsi="Times New Roman" w:eastAsia="Times New Roman" w:cs="Times New Roman"/>
          <w:spacing w:val="-5"/>
          <w:sz w:val="21"/>
          <w:szCs w:val="21"/>
        </w:rPr>
        <w:t>GB50193</w:t>
      </w:r>
    </w:p>
    <w:p>
      <w:pPr>
        <w:spacing w:before="6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14</w:t>
      </w:r>
      <w:r>
        <w:rPr>
          <w:rFonts w:ascii="宋体" w:hAnsi="宋体" w:eastAsia="宋体" w:cs="宋体"/>
          <w:spacing w:val="-6"/>
          <w:sz w:val="21"/>
          <w:szCs w:val="21"/>
        </w:rPr>
        <w:t>《干粉灭火系统设计规范》</w:t>
      </w:r>
      <w:r>
        <w:rPr>
          <w:rFonts w:ascii="Times New Roman" w:hAnsi="Times New Roman" w:eastAsia="Times New Roman" w:cs="Times New Roman"/>
          <w:spacing w:val="-6"/>
          <w:sz w:val="21"/>
          <w:szCs w:val="21"/>
        </w:rPr>
        <w:t>GB50347</w:t>
      </w:r>
    </w:p>
    <w:p>
      <w:pPr>
        <w:spacing w:before="72"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15</w:t>
      </w:r>
      <w:r>
        <w:rPr>
          <w:rFonts w:ascii="宋体" w:hAnsi="宋体" w:eastAsia="宋体" w:cs="宋体"/>
          <w:spacing w:val="-6"/>
          <w:sz w:val="21"/>
          <w:szCs w:val="21"/>
        </w:rPr>
        <w:t>《气体灭火系统设计规范》</w:t>
      </w:r>
      <w:r>
        <w:rPr>
          <w:rFonts w:ascii="Times New Roman" w:hAnsi="Times New Roman" w:eastAsia="Times New Roman" w:cs="Times New Roman"/>
          <w:spacing w:val="-6"/>
          <w:sz w:val="21"/>
          <w:szCs w:val="21"/>
        </w:rPr>
        <w:t>GB50370</w:t>
      </w:r>
    </w:p>
    <w:p>
      <w:pPr>
        <w:spacing w:before="71" w:line="219" w:lineRule="auto"/>
        <w:ind w:left="157"/>
        <w:rPr>
          <w:rFonts w:ascii="宋体" w:hAnsi="宋体" w:eastAsia="宋体" w:cs="宋体"/>
          <w:sz w:val="21"/>
          <w:szCs w:val="21"/>
        </w:rPr>
      </w:pPr>
      <w:r>
        <w:rPr>
          <w:rFonts w:ascii="宋体" w:hAnsi="宋体" w:eastAsia="宋体" w:cs="宋体"/>
          <w:spacing w:val="-4"/>
          <w:sz w:val="21"/>
          <w:szCs w:val="21"/>
        </w:rPr>
        <w:t>16《消防给水及消火栓系统技术规范》GB50974</w:t>
      </w:r>
    </w:p>
    <w:p>
      <w:pPr>
        <w:spacing w:before="51" w:line="219" w:lineRule="auto"/>
        <w:ind w:left="157"/>
        <w:rPr>
          <w:rFonts w:ascii="宋体" w:hAnsi="宋体" w:eastAsia="宋体" w:cs="宋体"/>
          <w:sz w:val="21"/>
          <w:szCs w:val="21"/>
        </w:rPr>
      </w:pPr>
      <w:r>
        <w:rPr>
          <w:rFonts w:ascii="宋体" w:hAnsi="宋体" w:eastAsia="宋体" w:cs="宋体"/>
          <w:spacing w:val="-3"/>
          <w:sz w:val="21"/>
          <w:szCs w:val="21"/>
        </w:rPr>
        <w:t>17《自动跟踪定位射流灭火系统技术标准》</w:t>
      </w:r>
      <w:r>
        <w:rPr>
          <w:rFonts w:ascii="宋体" w:hAnsi="宋体" w:eastAsia="宋体" w:cs="宋体"/>
          <w:spacing w:val="-4"/>
          <w:sz w:val="21"/>
          <w:szCs w:val="21"/>
        </w:rPr>
        <w:t>GB51427</w:t>
      </w:r>
    </w:p>
    <w:sdt>
      <w:sdtPr>
        <w:rPr>
          <w:rFonts w:ascii="Times New Roman" w:hAnsi="Times New Roman" w:eastAsia="Times New Roman" w:cs="Times New Roman"/>
          <w:sz w:val="21"/>
          <w:szCs w:val="21"/>
        </w:rPr>
        <w:id w:val="6"/>
        <w:docPartObj>
          <w:docPartGallery w:val="Table of Contents"/>
          <w:docPartUnique/>
        </w:docPartObj>
      </w:sdtPr>
      <w:sdtEndPr>
        <w:rPr>
          <w:rFonts w:ascii="Times New Roman" w:hAnsi="Times New Roman" w:eastAsia="Times New Roman" w:cs="Times New Roman"/>
          <w:sz w:val="21"/>
          <w:szCs w:val="21"/>
        </w:rPr>
      </w:sdtEndPr>
      <w:sdtContent>
        <w:p>
          <w:pPr>
            <w:spacing w:before="81"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18</w:t>
          </w:r>
          <w:r>
            <w:rPr>
              <w:rFonts w:ascii="宋体" w:hAnsi="宋体" w:eastAsia="宋体" w:cs="宋体"/>
              <w:spacing w:val="-7"/>
              <w:sz w:val="21"/>
              <w:szCs w:val="21"/>
            </w:rPr>
            <w:t>《探火管式灭火装置》</w:t>
          </w:r>
          <w:r>
            <w:rPr>
              <w:rFonts w:ascii="Times New Roman" w:hAnsi="Times New Roman" w:eastAsia="Times New Roman" w:cs="Times New Roman"/>
              <w:spacing w:val="-7"/>
              <w:sz w:val="21"/>
              <w:szCs w:val="21"/>
            </w:rPr>
            <w:t>XF1167</w:t>
          </w:r>
        </w:p>
        <w:p>
          <w:pPr>
            <w:spacing w:before="70"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19</w:t>
          </w:r>
          <w:r>
            <w:rPr>
              <w:rFonts w:ascii="宋体" w:hAnsi="宋体" w:eastAsia="宋体" w:cs="宋体"/>
              <w:spacing w:val="-3"/>
              <w:sz w:val="21"/>
              <w:szCs w:val="21"/>
            </w:rPr>
            <w:t>《民用建筑电气防火设计标准》</w:t>
          </w:r>
          <w:r>
            <w:rPr>
              <w:rFonts w:ascii="Times New Roman" w:hAnsi="Times New Roman" w:eastAsia="Times New Roman" w:cs="Times New Roman"/>
              <w:spacing w:val="-3"/>
              <w:sz w:val="21"/>
              <w:szCs w:val="21"/>
            </w:rPr>
            <w:t>DG/TJ08—2048</w:t>
          </w:r>
        </w:p>
        <w:p>
          <w:pPr>
            <w:spacing w:before="60" w:line="219" w:lineRule="auto"/>
            <w:ind w:left="157"/>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20</w:t>
          </w:r>
          <w:r>
            <w:rPr>
              <w:rFonts w:ascii="宋体" w:hAnsi="宋体" w:eastAsia="宋体" w:cs="宋体"/>
              <w:spacing w:val="-3"/>
              <w:sz w:val="21"/>
              <w:szCs w:val="21"/>
            </w:rPr>
            <w:t>《展览建筑及布展设计防火规程》</w:t>
          </w:r>
          <w:r>
            <w:rPr>
              <w:rFonts w:ascii="Times New Roman" w:hAnsi="Times New Roman" w:eastAsia="Times New Roman" w:cs="Times New Roman"/>
              <w:spacing w:val="-3"/>
              <w:sz w:val="21"/>
              <w:szCs w:val="21"/>
            </w:rPr>
            <w:t>DGJ08—2173</w:t>
          </w:r>
        </w:p>
      </w:sdtContent>
    </w:sdt>
    <w:p>
      <w:pPr>
        <w:spacing w:before="73" w:line="247" w:lineRule="auto"/>
        <w:ind w:left="586" w:right="177" w:hanging="429"/>
        <w:rPr>
          <w:rFonts w:ascii="Times New Roman" w:hAnsi="Times New Roman" w:eastAsia="Times New Roman" w:cs="Times New Roman"/>
          <w:sz w:val="21"/>
          <w:szCs w:val="21"/>
        </w:rPr>
      </w:pPr>
      <w:r>
        <w:rPr>
          <w:rFonts w:ascii="Times New Roman" w:hAnsi="Times New Roman" w:eastAsia="Times New Roman" w:cs="Times New Roman"/>
          <w:spacing w:val="13"/>
          <w:sz w:val="21"/>
          <w:szCs w:val="21"/>
        </w:rPr>
        <w:t>21</w:t>
      </w:r>
      <w:r>
        <w:rPr>
          <w:rFonts w:ascii="宋体" w:hAnsi="宋体" w:eastAsia="宋体" w:cs="宋体"/>
          <w:spacing w:val="13"/>
          <w:sz w:val="21"/>
          <w:szCs w:val="21"/>
        </w:rPr>
        <w:t>《保障性租赁住房设计标准(保障性租赁住房新建分</w:t>
      </w:r>
      <w:r>
        <w:rPr>
          <w:rFonts w:ascii="宋体" w:hAnsi="宋体" w:eastAsia="宋体" w:cs="宋体"/>
          <w:spacing w:val="-7"/>
          <w:sz w:val="21"/>
          <w:szCs w:val="21"/>
        </w:rPr>
        <w:t>册)》</w:t>
      </w:r>
      <w:r>
        <w:rPr>
          <w:rFonts w:ascii="Times New Roman" w:hAnsi="Times New Roman" w:eastAsia="Times New Roman" w:cs="Times New Roman"/>
          <w:spacing w:val="-7"/>
          <w:sz w:val="21"/>
          <w:szCs w:val="21"/>
        </w:rPr>
        <w:t>DG/TJ08—2291B</w:t>
      </w:r>
    </w:p>
    <w:p>
      <w:pPr>
        <w:spacing w:before="57" w:line="256" w:lineRule="auto"/>
        <w:ind w:left="586" w:right="178" w:hanging="429"/>
        <w:rPr>
          <w:rFonts w:ascii="Times New Roman" w:hAnsi="Times New Roman" w:eastAsia="Times New Roman" w:cs="Times New Roman"/>
          <w:sz w:val="21"/>
          <w:szCs w:val="21"/>
        </w:rPr>
      </w:pPr>
      <w:r>
        <w:rPr>
          <w:rFonts w:ascii="Times New Roman" w:hAnsi="Times New Roman" w:eastAsia="Times New Roman" w:cs="Times New Roman"/>
          <w:spacing w:val="13"/>
          <w:sz w:val="21"/>
          <w:szCs w:val="21"/>
        </w:rPr>
        <w:t>22</w:t>
      </w:r>
      <w:r>
        <w:rPr>
          <w:rFonts w:ascii="宋体" w:hAnsi="宋体" w:eastAsia="宋体" w:cs="宋体"/>
          <w:spacing w:val="13"/>
          <w:sz w:val="21"/>
          <w:szCs w:val="21"/>
        </w:rPr>
        <w:t>《保障性租赁住房设计标准(保障性租赁住房改建分</w:t>
      </w:r>
      <w:r>
        <w:rPr>
          <w:rFonts w:ascii="宋体" w:hAnsi="宋体" w:eastAsia="宋体" w:cs="宋体"/>
          <w:spacing w:val="-6"/>
          <w:sz w:val="21"/>
          <w:szCs w:val="21"/>
        </w:rPr>
        <w:t>册)》</w:t>
      </w:r>
      <w:r>
        <w:rPr>
          <w:rFonts w:ascii="Times New Roman" w:hAnsi="Times New Roman" w:eastAsia="Times New Roman" w:cs="Times New Roman"/>
          <w:spacing w:val="-6"/>
          <w:sz w:val="21"/>
          <w:szCs w:val="21"/>
        </w:rPr>
        <w:t>DG/TJ08—2291C</w:t>
      </w:r>
    </w:p>
    <w:p>
      <w:pPr>
        <w:spacing w:line="256" w:lineRule="auto"/>
        <w:rPr>
          <w:rFonts w:ascii="Times New Roman" w:hAnsi="Times New Roman" w:eastAsia="Times New Roman" w:cs="Times New Roman"/>
          <w:sz w:val="21"/>
          <w:szCs w:val="21"/>
        </w:rPr>
        <w:sectPr>
          <w:footerReference r:id="rId69" w:type="default"/>
          <w:pgSz w:w="8280" w:h="11850"/>
          <w:pgMar w:top="400" w:right="1242" w:bottom="1220" w:left="1242" w:header="0" w:footer="947" w:gutter="0"/>
          <w:cols w:space="720" w:num="1"/>
        </w:sectPr>
      </w:pPr>
    </w:p>
    <w:p>
      <w:pPr>
        <w:pStyle w:val="2"/>
        <w:spacing w:line="300" w:lineRule="auto"/>
      </w:pPr>
    </w:p>
    <w:p>
      <w:pPr>
        <w:pStyle w:val="2"/>
        <w:spacing w:line="301" w:lineRule="auto"/>
      </w:pPr>
    </w:p>
    <w:p>
      <w:pPr>
        <w:pStyle w:val="2"/>
        <w:spacing w:line="301" w:lineRule="auto"/>
      </w:pPr>
    </w:p>
    <w:p>
      <w:pPr>
        <w:spacing w:before="72" w:line="220" w:lineRule="auto"/>
        <w:ind w:left="398"/>
        <w:rPr>
          <w:rFonts w:ascii="Times New Roman" w:hAnsi="Times New Roman" w:eastAsia="Times New Roman" w:cs="Times New Roman"/>
          <w:sz w:val="22"/>
          <w:szCs w:val="22"/>
        </w:rPr>
      </w:pPr>
      <w:r>
        <w:rPr>
          <w:rFonts w:ascii="Times New Roman" w:hAnsi="Times New Roman" w:eastAsia="Times New Roman" w:cs="Times New Roman"/>
          <w:spacing w:val="-6"/>
          <w:sz w:val="22"/>
          <w:szCs w:val="22"/>
        </w:rPr>
        <w:t>23</w:t>
      </w:r>
      <w:r>
        <w:rPr>
          <w:rFonts w:ascii="宋体" w:hAnsi="宋体" w:eastAsia="宋体" w:cs="宋体"/>
          <w:spacing w:val="-6"/>
          <w:sz w:val="22"/>
          <w:szCs w:val="22"/>
        </w:rPr>
        <w:t>《大型物流建筑消防设计标准》</w:t>
      </w:r>
      <w:r>
        <w:rPr>
          <w:rFonts w:ascii="Times New Roman" w:hAnsi="Times New Roman" w:eastAsia="Times New Roman" w:cs="Times New Roman"/>
          <w:spacing w:val="-6"/>
          <w:sz w:val="22"/>
          <w:szCs w:val="22"/>
        </w:rPr>
        <w:t>DG/TJ08—2343</w:t>
      </w:r>
    </w:p>
    <w:p>
      <w:pPr>
        <w:spacing w:before="47" w:line="219" w:lineRule="auto"/>
        <w:ind w:left="398"/>
        <w:rPr>
          <w:rFonts w:ascii="Times New Roman" w:hAnsi="Times New Roman" w:eastAsia="Times New Roman" w:cs="Times New Roman"/>
          <w:sz w:val="22"/>
          <w:szCs w:val="22"/>
        </w:rPr>
      </w:pPr>
      <w:r>
        <w:rPr>
          <w:rFonts w:ascii="Times New Roman" w:hAnsi="Times New Roman" w:eastAsia="Times New Roman" w:cs="Times New Roman"/>
          <w:spacing w:val="-8"/>
          <w:sz w:val="22"/>
          <w:szCs w:val="22"/>
        </w:rPr>
        <w:t>24</w:t>
      </w:r>
      <w:r>
        <w:rPr>
          <w:rFonts w:ascii="宋体" w:hAnsi="宋体" w:eastAsia="宋体" w:cs="宋体"/>
          <w:spacing w:val="-8"/>
          <w:sz w:val="22"/>
          <w:szCs w:val="22"/>
        </w:rPr>
        <w:t>《城市综合体消防技术标准》</w:t>
      </w:r>
      <w:r>
        <w:rPr>
          <w:rFonts w:ascii="Times New Roman" w:hAnsi="Times New Roman" w:eastAsia="Times New Roman" w:cs="Times New Roman"/>
          <w:spacing w:val="-8"/>
          <w:sz w:val="22"/>
          <w:szCs w:val="22"/>
        </w:rPr>
        <w:t>DG/TJ08—24</w:t>
      </w:r>
      <w:r>
        <w:rPr>
          <w:rFonts w:ascii="Times New Roman" w:hAnsi="Times New Roman" w:eastAsia="Times New Roman" w:cs="Times New Roman"/>
          <w:spacing w:val="-9"/>
          <w:sz w:val="22"/>
          <w:szCs w:val="22"/>
        </w:rPr>
        <w:t>08</w:t>
      </w:r>
    </w:p>
    <w:p>
      <w:pPr>
        <w:spacing w:before="47" w:line="265" w:lineRule="auto"/>
        <w:ind w:left="398" w:right="98"/>
        <w:rPr>
          <w:rFonts w:ascii="宋体" w:hAnsi="宋体" w:eastAsia="宋体" w:cs="宋体"/>
          <w:sz w:val="22"/>
          <w:szCs w:val="22"/>
        </w:rPr>
      </w:pPr>
      <w:r>
        <w:rPr>
          <w:rFonts w:ascii="Times New Roman" w:hAnsi="Times New Roman" w:eastAsia="Times New Roman" w:cs="Times New Roman"/>
          <w:spacing w:val="-8"/>
          <w:sz w:val="22"/>
          <w:szCs w:val="22"/>
        </w:rPr>
        <w:t>25</w:t>
      </w:r>
      <w:r>
        <w:rPr>
          <w:rFonts w:ascii="宋体" w:hAnsi="宋体" w:eastAsia="宋体" w:cs="宋体"/>
          <w:spacing w:val="-8"/>
          <w:sz w:val="22"/>
          <w:szCs w:val="22"/>
        </w:rPr>
        <w:t>《老旧住宅小区消防改造技术标准》DG/TJ08-2409</w:t>
      </w:r>
      <w:r>
        <w:rPr>
          <w:rFonts w:ascii="Times New Roman" w:hAnsi="Times New Roman" w:eastAsia="Times New Roman" w:cs="Times New Roman"/>
          <w:spacing w:val="-8"/>
          <w:sz w:val="22"/>
          <w:szCs w:val="22"/>
        </w:rPr>
        <w:t>26</w:t>
      </w:r>
      <w:r>
        <w:rPr>
          <w:rFonts w:ascii="宋体" w:hAnsi="宋体" w:eastAsia="宋体" w:cs="宋体"/>
          <w:spacing w:val="-8"/>
          <w:sz w:val="22"/>
          <w:szCs w:val="22"/>
        </w:rPr>
        <w:t>《文物和优秀历史建筑消防技术标准》</w:t>
      </w:r>
      <w:r>
        <w:rPr>
          <w:rFonts w:ascii="Times New Roman" w:hAnsi="Times New Roman" w:eastAsia="Times New Roman" w:cs="Times New Roman"/>
          <w:spacing w:val="-8"/>
          <w:sz w:val="22"/>
          <w:szCs w:val="22"/>
        </w:rPr>
        <w:t>DG/TJ08—2410</w:t>
      </w:r>
      <w:r>
        <w:rPr>
          <w:rFonts w:ascii="宋体" w:hAnsi="宋体" w:eastAsia="宋体" w:cs="宋体"/>
          <w:spacing w:val="-9"/>
          <w:sz w:val="22"/>
          <w:szCs w:val="22"/>
        </w:rPr>
        <w:t>27《电动自行车集中充电和停放场所》DG/TJ08—2451</w:t>
      </w:r>
    </w:p>
    <w:p>
      <w:pPr>
        <w:spacing w:line="265" w:lineRule="auto"/>
        <w:rPr>
          <w:rFonts w:ascii="宋体" w:hAnsi="宋体" w:eastAsia="宋体" w:cs="宋体"/>
          <w:sz w:val="22"/>
          <w:szCs w:val="22"/>
        </w:rPr>
        <w:sectPr>
          <w:footerReference r:id="rId70" w:type="default"/>
          <w:pgSz w:w="8280" w:h="11850"/>
          <w:pgMar w:top="400" w:right="1242" w:bottom="1318" w:left="1242" w:header="0" w:footer="1033" w:gutter="0"/>
          <w:cols w:space="720" w:num="1"/>
        </w:sectPr>
      </w:pPr>
    </w:p>
    <w:p>
      <w:pPr>
        <w:pStyle w:val="2"/>
        <w:spacing w:line="283" w:lineRule="auto"/>
      </w:pPr>
    </w:p>
    <w:p>
      <w:pPr>
        <w:pStyle w:val="2"/>
        <w:spacing w:line="283" w:lineRule="auto"/>
      </w:pPr>
    </w:p>
    <w:p>
      <w:pPr>
        <w:pStyle w:val="2"/>
        <w:spacing w:line="283" w:lineRule="auto"/>
      </w:pPr>
    </w:p>
    <w:p>
      <w:pPr>
        <w:pStyle w:val="2"/>
        <w:spacing w:line="283" w:lineRule="auto"/>
      </w:pPr>
    </w:p>
    <w:p>
      <w:pPr>
        <w:pStyle w:val="2"/>
        <w:spacing w:line="284" w:lineRule="auto"/>
      </w:pPr>
    </w:p>
    <w:p>
      <w:pPr>
        <w:spacing w:before="100" w:line="221" w:lineRule="auto"/>
        <w:ind w:left="572"/>
        <w:outlineLvl w:val="0"/>
        <w:rPr>
          <w:rFonts w:ascii="黑体" w:hAnsi="黑体" w:eastAsia="黑体" w:cs="黑体"/>
          <w:sz w:val="31"/>
          <w:szCs w:val="31"/>
        </w:rPr>
      </w:pPr>
      <w:bookmarkStart w:id="52" w:name="bookmark72"/>
      <w:bookmarkEnd w:id="52"/>
      <w:bookmarkStart w:id="53" w:name="bookmark34"/>
      <w:bookmarkEnd w:id="53"/>
      <w:r>
        <w:rPr>
          <w:rFonts w:ascii="黑体" w:hAnsi="黑体" w:eastAsia="黑体" w:cs="黑体"/>
          <w:b/>
          <w:bCs/>
          <w:spacing w:val="-1"/>
          <w:sz w:val="31"/>
          <w:szCs w:val="31"/>
        </w:rPr>
        <w:t>标准上一版编制单位及人员信息</w:t>
      </w:r>
    </w:p>
    <w:p>
      <w:pPr>
        <w:pStyle w:val="2"/>
        <w:spacing w:line="362" w:lineRule="auto"/>
      </w:pPr>
    </w:p>
    <w:p>
      <w:pPr>
        <w:spacing w:before="61" w:line="189" w:lineRule="auto"/>
        <w:ind w:left="1888"/>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DGJ08—94—2007</w:t>
      </w:r>
    </w:p>
    <w:p>
      <w:pPr>
        <w:pStyle w:val="2"/>
        <w:spacing w:line="309" w:lineRule="auto"/>
      </w:pPr>
    </w:p>
    <w:p>
      <w:pPr>
        <w:pStyle w:val="2"/>
        <w:spacing w:line="310" w:lineRule="auto"/>
      </w:pPr>
    </w:p>
    <w:p>
      <w:pPr>
        <w:spacing w:before="68" w:line="221" w:lineRule="auto"/>
        <w:ind w:left="250"/>
        <w:rPr>
          <w:rFonts w:ascii="宋体" w:hAnsi="宋体" w:eastAsia="宋体" w:cs="宋体"/>
          <w:sz w:val="21"/>
          <w:szCs w:val="21"/>
        </w:rPr>
      </w:pPr>
      <w:r>
        <w:rPr>
          <w:rFonts w:ascii="黑体" w:hAnsi="黑体" w:eastAsia="黑体" w:cs="黑体"/>
          <w:b/>
          <w:bCs/>
          <w:spacing w:val="-9"/>
          <w:sz w:val="21"/>
          <w:szCs w:val="21"/>
        </w:rPr>
        <w:t>主编单位</w:t>
      </w:r>
      <w:r>
        <w:rPr>
          <w:rFonts w:ascii="宋体" w:hAnsi="宋体" w:eastAsia="宋体" w:cs="宋体"/>
          <w:b/>
          <w:bCs/>
          <w:spacing w:val="-9"/>
          <w:sz w:val="21"/>
          <w:szCs w:val="21"/>
        </w:rPr>
        <w:t>：现代设计集团华东建筑设计研究院有限公司</w:t>
      </w:r>
    </w:p>
    <w:p>
      <w:pPr>
        <w:spacing w:before="68" w:line="221" w:lineRule="auto"/>
        <w:ind w:left="250"/>
        <w:rPr>
          <w:rFonts w:ascii="宋体" w:hAnsi="宋体" w:eastAsia="宋体" w:cs="宋体"/>
          <w:sz w:val="21"/>
          <w:szCs w:val="21"/>
        </w:rPr>
      </w:pPr>
      <w:r>
        <w:rPr>
          <w:rFonts w:ascii="黑体" w:hAnsi="黑体" w:eastAsia="黑体" w:cs="黑体"/>
          <w:b/>
          <w:bCs/>
          <w:spacing w:val="-16"/>
          <w:sz w:val="21"/>
          <w:szCs w:val="21"/>
        </w:rPr>
        <w:t>参编单位</w:t>
      </w:r>
      <w:r>
        <w:rPr>
          <w:rFonts w:ascii="宋体" w:hAnsi="宋体" w:eastAsia="宋体" w:cs="宋体"/>
          <w:b/>
          <w:bCs/>
          <w:spacing w:val="-16"/>
          <w:sz w:val="21"/>
          <w:szCs w:val="21"/>
        </w:rPr>
        <w:t>：上海市消防局</w:t>
      </w:r>
    </w:p>
    <w:p>
      <w:pPr>
        <w:spacing w:before="69" w:line="219" w:lineRule="auto"/>
        <w:ind w:left="1400"/>
        <w:rPr>
          <w:rFonts w:ascii="宋体" w:hAnsi="宋体" w:eastAsia="宋体" w:cs="宋体"/>
          <w:sz w:val="21"/>
          <w:szCs w:val="21"/>
        </w:rPr>
      </w:pPr>
      <w:r>
        <w:rPr>
          <w:rFonts w:ascii="宋体" w:hAnsi="宋体" w:eastAsia="宋体" w:cs="宋体"/>
          <w:b/>
          <w:bCs/>
          <w:spacing w:val="-3"/>
          <w:sz w:val="21"/>
          <w:szCs w:val="21"/>
        </w:rPr>
        <w:t>上海沪标工程建设咨询有限公司</w:t>
      </w:r>
    </w:p>
    <w:p>
      <w:pPr>
        <w:spacing w:line="102" w:lineRule="auto"/>
        <w:rPr>
          <w:rFonts w:ascii="Arial"/>
          <w:sz w:val="2"/>
        </w:rPr>
      </w:pPr>
    </w:p>
    <w:p>
      <w:pPr>
        <w:spacing w:line="102" w:lineRule="auto"/>
        <w:rPr>
          <w:rFonts w:ascii="Arial" w:hAnsi="Arial" w:eastAsia="Arial" w:cs="Arial"/>
          <w:sz w:val="2"/>
          <w:szCs w:val="2"/>
        </w:rPr>
        <w:sectPr>
          <w:footerReference r:id="rId71" w:type="default"/>
          <w:pgSz w:w="8280" w:h="11850"/>
          <w:pgMar w:top="400" w:right="1242" w:bottom="1350" w:left="1242" w:header="0" w:footer="1077" w:gutter="0"/>
          <w:cols w:equalWidth="0" w:num="1">
            <w:col w:w="5796"/>
          </w:cols>
        </w:sectPr>
      </w:pPr>
    </w:p>
    <w:p>
      <w:pPr>
        <w:spacing w:before="42" w:line="222" w:lineRule="auto"/>
        <w:ind w:left="250"/>
        <w:rPr>
          <w:rFonts w:ascii="宋体" w:hAnsi="宋体" w:eastAsia="宋体" w:cs="宋体"/>
          <w:sz w:val="21"/>
          <w:szCs w:val="21"/>
        </w:rPr>
      </w:pPr>
      <w:r>
        <w:rPr>
          <w:rFonts w:ascii="黑体" w:hAnsi="黑体" w:eastAsia="黑体" w:cs="黑体"/>
          <w:b/>
          <w:bCs/>
          <w:spacing w:val="-12"/>
          <w:sz w:val="21"/>
          <w:szCs w:val="21"/>
        </w:rPr>
        <w:t>主要起草人</w:t>
      </w:r>
      <w:r>
        <w:rPr>
          <w:rFonts w:ascii="宋体" w:hAnsi="宋体" w:eastAsia="宋体" w:cs="宋体"/>
          <w:b/>
          <w:bCs/>
          <w:spacing w:val="-12"/>
          <w:sz w:val="21"/>
          <w:szCs w:val="21"/>
        </w:rPr>
        <w:t>：冯旭东杨琦曾</w:t>
      </w:r>
    </w:p>
    <w:p>
      <w:pPr>
        <w:spacing w:line="40" w:lineRule="auto"/>
        <w:rPr>
          <w:rFonts w:ascii="Arial"/>
          <w:sz w:val="2"/>
        </w:rPr>
      </w:pPr>
    </w:p>
    <w:p>
      <w:pPr>
        <w:pStyle w:val="2"/>
        <w:spacing w:line="14" w:lineRule="auto"/>
        <w:rPr>
          <w:sz w:val="2"/>
        </w:rPr>
      </w:pPr>
      <w:r>
        <w:rPr>
          <w:sz w:val="2"/>
          <w:szCs w:val="2"/>
        </w:rPr>
        <w:br w:type="column"/>
      </w:r>
    </w:p>
    <w:p>
      <w:pPr>
        <w:spacing w:before="41" w:line="219" w:lineRule="auto"/>
        <w:rPr>
          <w:rFonts w:ascii="宋体" w:hAnsi="宋体" w:eastAsia="宋体" w:cs="宋体"/>
          <w:sz w:val="21"/>
          <w:szCs w:val="21"/>
        </w:rPr>
      </w:pPr>
      <w:r>
        <w:rPr>
          <w:rFonts w:ascii="宋体" w:hAnsi="宋体" w:eastAsia="宋体" w:cs="宋体"/>
          <w:b/>
          <w:bCs/>
          <w:spacing w:val="-4"/>
          <w:sz w:val="21"/>
          <w:szCs w:val="21"/>
        </w:rPr>
        <w:t>杰潘德琦姜文源</w:t>
      </w:r>
    </w:p>
    <w:p>
      <w:pPr>
        <w:spacing w:line="219" w:lineRule="auto"/>
        <w:rPr>
          <w:rFonts w:ascii="宋体" w:hAnsi="宋体" w:eastAsia="宋体" w:cs="宋体"/>
          <w:sz w:val="21"/>
          <w:szCs w:val="21"/>
        </w:rPr>
        <w:sectPr>
          <w:type w:val="continuous"/>
          <w:pgSz w:w="8280" w:h="11850"/>
          <w:pgMar w:top="400" w:right="1242" w:bottom="1350" w:left="1242" w:header="0" w:footer="1077" w:gutter="0"/>
          <w:cols w:equalWidth="0" w:num="2">
            <w:col w:w="3382" w:space="100"/>
            <w:col w:w="2315"/>
          </w:cols>
        </w:sectPr>
      </w:pPr>
    </w:p>
    <w:p>
      <w:pPr>
        <w:spacing w:before="84" w:line="184" w:lineRule="auto"/>
        <w:ind w:left="1400"/>
        <w:rPr>
          <w:rFonts w:ascii="宋体" w:hAnsi="宋体" w:eastAsia="宋体" w:cs="宋体"/>
          <w:sz w:val="21"/>
          <w:szCs w:val="21"/>
        </w:rPr>
      </w:pPr>
      <w:r>
        <w:rPr>
          <w:rFonts w:ascii="宋体" w:hAnsi="宋体" w:eastAsia="宋体" w:cs="宋体"/>
          <w:b/>
          <w:bCs/>
          <w:spacing w:val="-7"/>
          <w:sz w:val="21"/>
          <w:szCs w:val="21"/>
        </w:rPr>
        <w:t>朱鸣王凤石</w:t>
      </w:r>
    </w:p>
    <w:p>
      <w:pPr>
        <w:spacing w:line="184" w:lineRule="auto"/>
        <w:rPr>
          <w:rFonts w:ascii="宋体" w:hAnsi="宋体" w:eastAsia="宋体" w:cs="宋体"/>
          <w:sz w:val="21"/>
          <w:szCs w:val="21"/>
        </w:rPr>
        <w:sectPr>
          <w:type w:val="continuous"/>
          <w:pgSz w:w="8280" w:h="11850"/>
          <w:pgMar w:top="400" w:right="1242" w:bottom="1350" w:left="1242" w:header="0" w:footer="1077" w:gutter="0"/>
          <w:cols w:equalWidth="0" w:num="1">
            <w:col w:w="5796"/>
          </w:cols>
        </w:sectPr>
      </w:pPr>
    </w:p>
    <w:p>
      <w:pPr>
        <w:pStyle w:val="2"/>
      </w:pPr>
    </w:p>
    <w:p>
      <w:pPr>
        <w:sectPr>
          <w:footerReference r:id="rId72" w:type="default"/>
          <w:pgSz w:w="8280" w:h="11850"/>
          <w:pgMar w:top="0" w:right="0" w:bottom="0" w:left="0" w:header="0" w:footer="0" w:gutter="0"/>
          <w:cols w:space="720" w:num="1"/>
        </w:sectPr>
      </w:pPr>
    </w:p>
    <w:p>
      <w:pPr>
        <w:pStyle w:val="2"/>
        <w:spacing w:line="280" w:lineRule="auto"/>
      </w:pPr>
    </w:p>
    <w:p>
      <w:pPr>
        <w:pStyle w:val="2"/>
        <w:spacing w:line="280" w:lineRule="auto"/>
      </w:pPr>
    </w:p>
    <w:p>
      <w:pPr>
        <w:pStyle w:val="2"/>
        <w:spacing w:line="281" w:lineRule="auto"/>
      </w:pPr>
    </w:p>
    <w:p>
      <w:pPr>
        <w:pStyle w:val="2"/>
        <w:spacing w:line="281" w:lineRule="auto"/>
      </w:pPr>
    </w:p>
    <w:p>
      <w:pPr>
        <w:pStyle w:val="2"/>
        <w:spacing w:line="281" w:lineRule="auto"/>
      </w:pPr>
    </w:p>
    <w:p>
      <w:pPr>
        <w:spacing w:before="94" w:line="222" w:lineRule="auto"/>
        <w:ind w:left="1642"/>
        <w:outlineLvl w:val="0"/>
        <w:rPr>
          <w:rFonts w:ascii="黑体" w:hAnsi="黑体" w:eastAsia="黑体" w:cs="黑体"/>
          <w:sz w:val="29"/>
          <w:szCs w:val="29"/>
        </w:rPr>
      </w:pPr>
      <w:bookmarkStart w:id="54" w:name="bookmark74"/>
      <w:bookmarkEnd w:id="54"/>
      <w:r>
        <w:rPr>
          <w:rFonts w:ascii="黑体" w:hAnsi="黑体" w:eastAsia="黑体" w:cs="黑体"/>
          <w:b/>
          <w:bCs/>
          <w:spacing w:val="-13"/>
          <w:sz w:val="29"/>
          <w:szCs w:val="29"/>
        </w:rPr>
        <w:t>上海市工程建设规范</w:t>
      </w:r>
    </w:p>
    <w:p>
      <w:pPr>
        <w:pStyle w:val="2"/>
        <w:spacing w:line="277" w:lineRule="auto"/>
      </w:pPr>
    </w:p>
    <w:p>
      <w:pPr>
        <w:pStyle w:val="2"/>
        <w:spacing w:line="277" w:lineRule="auto"/>
      </w:pPr>
    </w:p>
    <w:p>
      <w:pPr>
        <w:pStyle w:val="2"/>
        <w:spacing w:line="277" w:lineRule="auto"/>
      </w:pPr>
    </w:p>
    <w:p>
      <w:pPr>
        <w:spacing w:before="94" w:line="221" w:lineRule="auto"/>
        <w:ind w:left="862"/>
        <w:rPr>
          <w:rFonts w:ascii="黑体" w:hAnsi="黑体" w:eastAsia="黑体" w:cs="黑体"/>
          <w:sz w:val="29"/>
          <w:szCs w:val="29"/>
        </w:rPr>
      </w:pPr>
      <w:r>
        <w:rPr>
          <w:rFonts w:ascii="黑体" w:hAnsi="黑体" w:eastAsia="黑体" w:cs="黑体"/>
          <w:b/>
          <w:bCs/>
          <w:spacing w:val="19"/>
          <w:sz w:val="29"/>
          <w:szCs w:val="29"/>
        </w:rPr>
        <w:t>民用建筑水灭火系统设计标准</w:t>
      </w:r>
    </w:p>
    <w:p>
      <w:pPr>
        <w:pStyle w:val="2"/>
        <w:spacing w:line="357" w:lineRule="auto"/>
      </w:pPr>
    </w:p>
    <w:p>
      <w:pPr>
        <w:pStyle w:val="2"/>
        <w:spacing w:line="358" w:lineRule="auto"/>
      </w:pPr>
    </w:p>
    <w:p>
      <w:pPr>
        <w:pStyle w:val="2"/>
        <w:spacing w:before="58" w:line="198" w:lineRule="auto"/>
        <w:ind w:left="1938"/>
        <w:rPr>
          <w:sz w:val="20"/>
          <w:szCs w:val="20"/>
        </w:rPr>
      </w:pPr>
      <w:r>
        <w:rPr>
          <w:b/>
          <w:bCs/>
          <w:spacing w:val="-2"/>
          <w:sz w:val="20"/>
          <w:szCs w:val="20"/>
        </w:rPr>
        <w:t>DG/TJ08—94—2024</w:t>
      </w:r>
    </w:p>
    <w:p>
      <w:pPr>
        <w:spacing w:before="120" w:line="188" w:lineRule="auto"/>
        <w:ind w:left="2127"/>
        <w:rPr>
          <w:rFonts w:ascii="Times New Roman" w:hAnsi="Times New Roman" w:eastAsia="Times New Roman" w:cs="Times New Roman"/>
          <w:sz w:val="20"/>
          <w:szCs w:val="20"/>
        </w:rPr>
      </w:pPr>
      <w:r>
        <w:rPr>
          <w:rFonts w:ascii="Times New Roman" w:hAnsi="Times New Roman" w:eastAsia="Times New Roman" w:cs="Times New Roman"/>
          <w:b/>
          <w:bCs/>
          <w:spacing w:val="-2"/>
          <w:sz w:val="20"/>
          <w:szCs w:val="20"/>
        </w:rPr>
        <w:t>J11056—2024</w:t>
      </w:r>
    </w:p>
    <w:p>
      <w:pPr>
        <w:pStyle w:val="2"/>
        <w:spacing w:line="444" w:lineRule="auto"/>
      </w:pPr>
    </w:p>
    <w:p>
      <w:pPr>
        <w:spacing w:before="95" w:line="219" w:lineRule="auto"/>
        <w:ind w:left="2198"/>
        <w:outlineLvl w:val="0"/>
        <w:rPr>
          <w:rFonts w:ascii="宋体" w:hAnsi="宋体" w:eastAsia="宋体" w:cs="宋体"/>
          <w:sz w:val="29"/>
          <w:szCs w:val="29"/>
        </w:rPr>
      </w:pPr>
      <w:bookmarkStart w:id="55" w:name="bookmark35"/>
      <w:bookmarkEnd w:id="55"/>
      <w:r>
        <w:rPr>
          <w:rFonts w:ascii="宋体" w:hAnsi="宋体" w:eastAsia="宋体" w:cs="宋体"/>
          <w:spacing w:val="-11"/>
          <w:sz w:val="29"/>
          <w:szCs w:val="29"/>
        </w:rPr>
        <w:t>条文说明</w:t>
      </w:r>
    </w:p>
    <w:p>
      <w:pPr>
        <w:spacing w:line="219" w:lineRule="auto"/>
        <w:rPr>
          <w:rFonts w:ascii="宋体" w:hAnsi="宋体" w:eastAsia="宋体" w:cs="宋体"/>
          <w:sz w:val="29"/>
          <w:szCs w:val="29"/>
        </w:rPr>
        <w:sectPr>
          <w:footerReference r:id="rId73" w:type="default"/>
          <w:pgSz w:w="8280" w:h="11850"/>
          <w:pgMar w:top="400" w:right="1242" w:bottom="1753" w:left="1242" w:header="0" w:footer="1514" w:gutter="0"/>
          <w:cols w:space="720" w:num="1"/>
        </w:sectPr>
      </w:pPr>
    </w:p>
    <w:p>
      <w:pPr>
        <w:pStyle w:val="2"/>
      </w:pPr>
    </w:p>
    <w:p>
      <w:pPr>
        <w:sectPr>
          <w:footerReference r:id="rId74" w:type="default"/>
          <w:pgSz w:w="8280" w:h="11850"/>
          <w:pgMar w:top="0" w:right="0" w:bottom="0" w:left="0" w:header="0" w:footer="0" w:gutter="0"/>
          <w:cols w:space="720" w:num="1"/>
        </w:sectPr>
      </w:pPr>
    </w:p>
    <w:p>
      <w:pPr>
        <w:pStyle w:val="2"/>
        <w:spacing w:line="253" w:lineRule="auto"/>
      </w:pPr>
    </w:p>
    <w:p>
      <w:pPr>
        <w:pStyle w:val="2"/>
        <w:spacing w:line="253" w:lineRule="auto"/>
      </w:pPr>
    </w:p>
    <w:p>
      <w:pPr>
        <w:pStyle w:val="2"/>
        <w:spacing w:line="253" w:lineRule="auto"/>
      </w:pPr>
    </w:p>
    <w:p>
      <w:pPr>
        <w:pStyle w:val="2"/>
        <w:spacing w:line="254" w:lineRule="auto"/>
      </w:pPr>
    </w:p>
    <w:p>
      <w:pPr>
        <w:pStyle w:val="2"/>
        <w:spacing w:line="254" w:lineRule="auto"/>
      </w:pPr>
    </w:p>
    <w:p>
      <w:pPr>
        <w:pStyle w:val="2"/>
        <w:spacing w:line="254" w:lineRule="auto"/>
      </w:pPr>
    </w:p>
    <w:sdt>
      <w:sdtPr>
        <w:rPr>
          <w:rFonts w:ascii="宋体" w:hAnsi="宋体" w:eastAsia="宋体" w:cs="宋体"/>
          <w:sz w:val="21"/>
          <w:szCs w:val="21"/>
        </w:rPr>
        <w:id w:val="7"/>
        <w:docPartObj>
          <w:docPartGallery w:val="Table of Contents"/>
          <w:docPartUnique/>
        </w:docPartObj>
      </w:sdtPr>
      <w:sdtEndPr>
        <w:rPr>
          <w:rFonts w:ascii="Times New Roman" w:hAnsi="Times New Roman" w:eastAsia="Times New Roman" w:cs="Times New Roman"/>
          <w:sz w:val="21"/>
          <w:szCs w:val="21"/>
        </w:rPr>
      </w:sdtEndPr>
      <w:sdtContent>
        <w:p>
          <w:pPr>
            <w:spacing w:before="68" w:line="219" w:lineRule="auto"/>
            <w:ind w:left="2600"/>
            <w:rPr>
              <w:rFonts w:ascii="宋体" w:hAnsi="宋体" w:eastAsia="宋体" w:cs="宋体"/>
              <w:sz w:val="21"/>
              <w:szCs w:val="21"/>
            </w:rPr>
          </w:pPr>
          <w:r>
            <w:rPr>
              <w:rFonts w:ascii="宋体" w:hAnsi="宋体" w:eastAsia="宋体" w:cs="宋体"/>
              <w:spacing w:val="-25"/>
              <w:sz w:val="21"/>
              <w:szCs w:val="21"/>
            </w:rPr>
            <w:t>目次</w:t>
          </w:r>
        </w:p>
        <w:p>
          <w:pPr>
            <w:pStyle w:val="2"/>
            <w:spacing w:line="299" w:lineRule="auto"/>
          </w:pPr>
        </w:p>
        <w:p>
          <w:pPr>
            <w:pStyle w:val="2"/>
            <w:spacing w:line="300" w:lineRule="auto"/>
          </w:pPr>
        </w:p>
        <w:p>
          <w:pPr>
            <w:tabs>
              <w:tab w:val="right" w:leader="dot" w:pos="5860"/>
            </w:tabs>
            <w:spacing w:before="68" w:line="220" w:lineRule="auto"/>
            <w:rPr>
              <w:rFonts w:ascii="Times New Roman" w:hAnsi="Times New Roman" w:eastAsia="Times New Roman" w:cs="Times New Roman"/>
              <w:sz w:val="21"/>
              <w:szCs w:val="21"/>
            </w:rPr>
          </w:pPr>
          <w:r>
            <w:rPr>
              <w:rFonts w:ascii="宋体" w:hAnsi="宋体" w:eastAsia="宋体" w:cs="宋体"/>
              <w:spacing w:val="-17"/>
              <w:sz w:val="21"/>
              <w:szCs w:val="21"/>
            </w:rPr>
            <w:t>1总则</w:t>
          </w:r>
          <w:r>
            <w:rPr>
              <w:rFonts w:ascii="宋体" w:hAnsi="宋体" w:eastAsia="宋体" w:cs="宋体"/>
              <w:sz w:val="21"/>
              <w:szCs w:val="21"/>
            </w:rPr>
            <w:tab/>
          </w:r>
          <w:r>
            <w:fldChar w:fldCharType="begin"/>
          </w:r>
          <w:r>
            <w:instrText xml:space="preserve"> HYPERLINK \l "bookmark94" </w:instrText>
          </w:r>
          <w:r>
            <w:fldChar w:fldCharType="separate"/>
          </w:r>
          <w:r>
            <w:rPr>
              <w:rFonts w:ascii="Times New Roman" w:hAnsi="Times New Roman" w:eastAsia="Times New Roman" w:cs="Times New Roman"/>
              <w:spacing w:val="-1"/>
              <w:sz w:val="21"/>
              <w:szCs w:val="21"/>
            </w:rPr>
            <w:t>63</w:t>
          </w:r>
          <w:r>
            <w:rPr>
              <w:rFonts w:ascii="Times New Roman" w:hAnsi="Times New Roman" w:eastAsia="Times New Roman" w:cs="Times New Roman"/>
              <w:spacing w:val="-1"/>
              <w:sz w:val="21"/>
              <w:szCs w:val="21"/>
            </w:rPr>
            <w:fldChar w:fldCharType="end"/>
          </w:r>
        </w:p>
        <w:p>
          <w:pPr>
            <w:tabs>
              <w:tab w:val="right" w:leader="dot" w:pos="5870"/>
            </w:tabs>
            <w:spacing w:before="79" w:line="220" w:lineRule="auto"/>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3</w:t>
          </w:r>
          <w:r>
            <w:rPr>
              <w:rFonts w:ascii="宋体" w:hAnsi="宋体" w:eastAsia="宋体" w:cs="宋体"/>
              <w:spacing w:val="5"/>
              <w:sz w:val="21"/>
              <w:szCs w:val="21"/>
            </w:rPr>
            <w:t>设置范围</w:t>
          </w:r>
          <w:r>
            <w:rPr>
              <w:rFonts w:ascii="宋体" w:hAnsi="宋体" w:eastAsia="宋体" w:cs="宋体"/>
              <w:sz w:val="21"/>
              <w:szCs w:val="21"/>
            </w:rPr>
            <w:tab/>
          </w:r>
          <w:r>
            <w:fldChar w:fldCharType="begin"/>
          </w:r>
          <w:r>
            <w:instrText xml:space="preserve"> HYPERLINK \l "bookmark95" </w:instrText>
          </w:r>
          <w:r>
            <w:fldChar w:fldCharType="separate"/>
          </w:r>
          <w:r>
            <w:rPr>
              <w:rFonts w:ascii="Times New Roman" w:hAnsi="Times New Roman" w:eastAsia="Times New Roman" w:cs="Times New Roman"/>
              <w:spacing w:val="-1"/>
              <w:sz w:val="21"/>
              <w:szCs w:val="21"/>
            </w:rPr>
            <w:t>65</w:t>
          </w:r>
          <w:r>
            <w:rPr>
              <w:rFonts w:ascii="Times New Roman" w:hAnsi="Times New Roman" w:eastAsia="Times New Roman" w:cs="Times New Roman"/>
              <w:spacing w:val="-1"/>
              <w:sz w:val="21"/>
              <w:szCs w:val="21"/>
            </w:rPr>
            <w:fldChar w:fldCharType="end"/>
          </w:r>
        </w:p>
        <w:p>
          <w:pPr>
            <w:tabs>
              <w:tab w:val="right" w:leader="dot" w:pos="5870"/>
            </w:tabs>
            <w:spacing w:before="59"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3.1</w:t>
          </w:r>
          <w:r>
            <w:rPr>
              <w:rFonts w:ascii="宋体" w:hAnsi="宋体" w:eastAsia="宋体" w:cs="宋体"/>
              <w:spacing w:val="3"/>
              <w:sz w:val="21"/>
              <w:szCs w:val="21"/>
            </w:rPr>
            <w:t>消火栓给水系统</w:t>
          </w:r>
          <w:r>
            <w:rPr>
              <w:rFonts w:ascii="宋体" w:hAnsi="宋体" w:eastAsia="宋体" w:cs="宋体"/>
              <w:sz w:val="21"/>
              <w:szCs w:val="21"/>
            </w:rPr>
            <w:tab/>
          </w:r>
          <w:r>
            <w:fldChar w:fldCharType="begin"/>
          </w:r>
          <w:r>
            <w:instrText xml:space="preserve"> HYPERLINK \l "bookmark96" </w:instrText>
          </w:r>
          <w:r>
            <w:fldChar w:fldCharType="separate"/>
          </w:r>
          <w:r>
            <w:rPr>
              <w:rFonts w:ascii="Times New Roman" w:hAnsi="Times New Roman" w:eastAsia="Times New Roman" w:cs="Times New Roman"/>
              <w:spacing w:val="-1"/>
              <w:sz w:val="21"/>
              <w:szCs w:val="21"/>
            </w:rPr>
            <w:t>65</w:t>
          </w:r>
          <w:r>
            <w:rPr>
              <w:rFonts w:ascii="Times New Roman" w:hAnsi="Times New Roman" w:eastAsia="Times New Roman" w:cs="Times New Roman"/>
              <w:spacing w:val="-1"/>
              <w:sz w:val="21"/>
              <w:szCs w:val="21"/>
            </w:rPr>
            <w:fldChar w:fldCharType="end"/>
          </w:r>
        </w:p>
        <w:p>
          <w:pPr>
            <w:tabs>
              <w:tab w:val="right" w:leader="dot" w:pos="5870"/>
            </w:tabs>
            <w:spacing w:before="70"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3.2</w:t>
          </w:r>
          <w:r>
            <w:rPr>
              <w:rFonts w:ascii="宋体" w:hAnsi="宋体" w:eastAsia="宋体" w:cs="宋体"/>
              <w:spacing w:val="3"/>
              <w:sz w:val="21"/>
              <w:szCs w:val="21"/>
            </w:rPr>
            <w:t>自动喷水灭火系统</w:t>
          </w:r>
          <w:r>
            <w:rPr>
              <w:rFonts w:ascii="宋体" w:hAnsi="宋体" w:eastAsia="宋体" w:cs="宋体"/>
              <w:sz w:val="21"/>
              <w:szCs w:val="21"/>
            </w:rPr>
            <w:tab/>
          </w:r>
          <w:r>
            <w:fldChar w:fldCharType="begin"/>
          </w:r>
          <w:r>
            <w:instrText xml:space="preserve"> HYPERLINK \l "bookmark97" </w:instrText>
          </w:r>
          <w:r>
            <w:fldChar w:fldCharType="separate"/>
          </w:r>
          <w:r>
            <w:rPr>
              <w:rFonts w:ascii="Times New Roman" w:hAnsi="Times New Roman" w:eastAsia="Times New Roman" w:cs="Times New Roman"/>
              <w:spacing w:val="-1"/>
              <w:sz w:val="21"/>
              <w:szCs w:val="21"/>
            </w:rPr>
            <w:t>66</w:t>
          </w:r>
          <w:r>
            <w:rPr>
              <w:rFonts w:ascii="Times New Roman" w:hAnsi="Times New Roman" w:eastAsia="Times New Roman" w:cs="Times New Roman"/>
              <w:spacing w:val="-1"/>
              <w:sz w:val="21"/>
              <w:szCs w:val="21"/>
            </w:rPr>
            <w:fldChar w:fldCharType="end"/>
          </w:r>
        </w:p>
        <w:p>
          <w:pPr>
            <w:tabs>
              <w:tab w:val="right" w:leader="dot" w:pos="5880"/>
            </w:tabs>
            <w:spacing w:before="71"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3.3</w:t>
          </w:r>
          <w:r>
            <w:rPr>
              <w:rFonts w:ascii="宋体" w:hAnsi="宋体" w:eastAsia="宋体" w:cs="宋体"/>
              <w:spacing w:val="4"/>
              <w:sz w:val="21"/>
              <w:szCs w:val="21"/>
            </w:rPr>
            <w:t>自动跟踪定位射流灭火系统</w:t>
          </w:r>
          <w:r>
            <w:rPr>
              <w:rFonts w:ascii="宋体" w:hAnsi="宋体" w:eastAsia="宋体" w:cs="宋体"/>
              <w:sz w:val="21"/>
              <w:szCs w:val="21"/>
            </w:rPr>
            <w:tab/>
          </w:r>
          <w:r>
            <w:fldChar w:fldCharType="begin"/>
          </w:r>
          <w:r>
            <w:instrText xml:space="preserve"> HYPERLINK \l "bookmark98" </w:instrText>
          </w:r>
          <w:r>
            <w:fldChar w:fldCharType="separate"/>
          </w:r>
          <w:r>
            <w:rPr>
              <w:rFonts w:ascii="Times New Roman" w:hAnsi="Times New Roman" w:eastAsia="Times New Roman" w:cs="Times New Roman"/>
              <w:spacing w:val="-1"/>
              <w:sz w:val="21"/>
              <w:szCs w:val="21"/>
            </w:rPr>
            <w:t>69</w:t>
          </w:r>
          <w:r>
            <w:rPr>
              <w:rFonts w:ascii="Times New Roman" w:hAnsi="Times New Roman" w:eastAsia="Times New Roman" w:cs="Times New Roman"/>
              <w:spacing w:val="-1"/>
              <w:sz w:val="21"/>
              <w:szCs w:val="21"/>
            </w:rPr>
            <w:fldChar w:fldCharType="end"/>
          </w:r>
        </w:p>
        <w:p>
          <w:pPr>
            <w:tabs>
              <w:tab w:val="right" w:leader="dot" w:pos="5880"/>
            </w:tabs>
            <w:spacing w:before="81"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3.4</w:t>
          </w:r>
          <w:r>
            <w:rPr>
              <w:rFonts w:ascii="宋体" w:hAnsi="宋体" w:eastAsia="宋体" w:cs="宋体"/>
              <w:spacing w:val="1"/>
              <w:sz w:val="21"/>
              <w:szCs w:val="21"/>
            </w:rPr>
            <w:t>其他灭火系统及装置</w:t>
          </w:r>
          <w:r>
            <w:rPr>
              <w:rFonts w:ascii="宋体" w:hAnsi="宋体" w:eastAsia="宋体" w:cs="宋体"/>
              <w:sz w:val="21"/>
              <w:szCs w:val="21"/>
            </w:rPr>
            <w:tab/>
          </w:r>
          <w:r>
            <w:fldChar w:fldCharType="begin"/>
          </w:r>
          <w:r>
            <w:instrText xml:space="preserve"> HYPERLINK \l "bookmark99" </w:instrText>
          </w:r>
          <w:r>
            <w:fldChar w:fldCharType="separate"/>
          </w:r>
          <w:r>
            <w:rPr>
              <w:rFonts w:ascii="Times New Roman" w:hAnsi="Times New Roman" w:eastAsia="Times New Roman" w:cs="Times New Roman"/>
              <w:spacing w:val="-1"/>
              <w:sz w:val="21"/>
              <w:szCs w:val="21"/>
            </w:rPr>
            <w:t>69</w:t>
          </w:r>
          <w:r>
            <w:rPr>
              <w:rFonts w:ascii="Times New Roman" w:hAnsi="Times New Roman" w:eastAsia="Times New Roman" w:cs="Times New Roman"/>
              <w:spacing w:val="-1"/>
              <w:sz w:val="21"/>
              <w:szCs w:val="21"/>
            </w:rPr>
            <w:fldChar w:fldCharType="end"/>
          </w:r>
        </w:p>
        <w:p>
          <w:pPr>
            <w:tabs>
              <w:tab w:val="right" w:leader="dot" w:pos="5882"/>
            </w:tabs>
            <w:spacing w:before="61" w:line="219" w:lineRule="auto"/>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消防给水</w:t>
          </w:r>
          <w:r>
            <w:rPr>
              <w:rFonts w:ascii="宋体" w:hAnsi="宋体" w:eastAsia="宋体" w:cs="宋体"/>
              <w:sz w:val="21"/>
              <w:szCs w:val="21"/>
            </w:rPr>
            <w:tab/>
          </w:r>
          <w:r>
            <w:fldChar w:fldCharType="begin"/>
          </w:r>
          <w:r>
            <w:instrText xml:space="preserve"> HYPERLINK \l "bookmark100" </w:instrText>
          </w:r>
          <w:r>
            <w:fldChar w:fldCharType="separate"/>
          </w:r>
          <w:r>
            <w:rPr>
              <w:rFonts w:ascii="Times New Roman" w:hAnsi="Times New Roman" w:eastAsia="Times New Roman" w:cs="Times New Roman"/>
              <w:spacing w:val="-7"/>
              <w:sz w:val="21"/>
              <w:szCs w:val="21"/>
            </w:rPr>
            <w:t>72</w:t>
          </w:r>
          <w:r>
            <w:rPr>
              <w:rFonts w:ascii="Times New Roman" w:hAnsi="Times New Roman" w:eastAsia="Times New Roman" w:cs="Times New Roman"/>
              <w:spacing w:val="-7"/>
              <w:sz w:val="21"/>
              <w:szCs w:val="21"/>
            </w:rPr>
            <w:fldChar w:fldCharType="end"/>
          </w:r>
        </w:p>
        <w:p>
          <w:pPr>
            <w:tabs>
              <w:tab w:val="right" w:leader="dot" w:pos="5872"/>
            </w:tabs>
            <w:spacing w:before="82" w:line="220"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4.1</w:t>
          </w:r>
          <w:r>
            <w:rPr>
              <w:rFonts w:ascii="宋体" w:hAnsi="宋体" w:eastAsia="宋体" w:cs="宋体"/>
              <w:spacing w:val="2"/>
              <w:sz w:val="21"/>
              <w:szCs w:val="21"/>
            </w:rPr>
            <w:t>一般规定</w:t>
          </w:r>
          <w:r>
            <w:rPr>
              <w:rFonts w:ascii="宋体" w:hAnsi="宋体" w:eastAsia="宋体" w:cs="宋体"/>
              <w:sz w:val="21"/>
              <w:szCs w:val="21"/>
            </w:rPr>
            <w:tab/>
          </w:r>
          <w:r>
            <w:fldChar w:fldCharType="begin"/>
          </w:r>
          <w:r>
            <w:instrText xml:space="preserve"> HYPERLINK \l "bookmark101"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
              <w:sz w:val="21"/>
              <w:szCs w:val="21"/>
            </w:rPr>
            <w:fldChar w:fldCharType="end"/>
          </w:r>
        </w:p>
        <w:p>
          <w:pPr>
            <w:tabs>
              <w:tab w:val="right" w:leader="dot" w:pos="5872"/>
            </w:tabs>
            <w:spacing w:before="49"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4.2</w:t>
          </w:r>
          <w:r>
            <w:rPr>
              <w:rFonts w:ascii="宋体" w:hAnsi="宋体" w:eastAsia="宋体" w:cs="宋体"/>
              <w:spacing w:val="2"/>
              <w:sz w:val="21"/>
              <w:szCs w:val="21"/>
            </w:rPr>
            <w:t>消防水源</w:t>
          </w:r>
          <w:r>
            <w:rPr>
              <w:rFonts w:ascii="宋体" w:hAnsi="宋体" w:eastAsia="宋体" w:cs="宋体"/>
              <w:sz w:val="21"/>
              <w:szCs w:val="21"/>
            </w:rPr>
            <w:tab/>
          </w:r>
          <w:r>
            <w:fldChar w:fldCharType="begin"/>
          </w:r>
          <w:r>
            <w:instrText xml:space="preserve"> HYPERLINK \l "bookmark102"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
              <w:sz w:val="21"/>
              <w:szCs w:val="21"/>
            </w:rPr>
            <w:fldChar w:fldCharType="end"/>
          </w:r>
        </w:p>
        <w:p>
          <w:pPr>
            <w:tabs>
              <w:tab w:val="right" w:leader="dot" w:pos="5872"/>
            </w:tabs>
            <w:spacing w:before="71"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4.3</w:t>
          </w:r>
          <w:r>
            <w:rPr>
              <w:rFonts w:ascii="宋体" w:hAnsi="宋体" w:eastAsia="宋体" w:cs="宋体"/>
              <w:spacing w:val="5"/>
              <w:sz w:val="21"/>
              <w:szCs w:val="21"/>
            </w:rPr>
            <w:t>消防用水量</w:t>
          </w:r>
          <w:r>
            <w:rPr>
              <w:rFonts w:ascii="宋体" w:hAnsi="宋体" w:eastAsia="宋体" w:cs="宋体"/>
              <w:sz w:val="21"/>
              <w:szCs w:val="21"/>
            </w:rPr>
            <w:tab/>
          </w:r>
          <w:r>
            <w:fldChar w:fldCharType="begin"/>
          </w:r>
          <w:r>
            <w:instrText xml:space="preserve"> HYPERLINK \l "bookmark103" </w:instrText>
          </w:r>
          <w:r>
            <w:fldChar w:fldCharType="separate"/>
          </w:r>
          <w:r>
            <w:rPr>
              <w:rFonts w:ascii="Times New Roman" w:hAnsi="Times New Roman" w:eastAsia="Times New Roman" w:cs="Times New Roman"/>
              <w:spacing w:val="-1"/>
              <w:sz w:val="21"/>
              <w:szCs w:val="21"/>
            </w:rPr>
            <w:t>75</w:t>
          </w:r>
          <w:r>
            <w:rPr>
              <w:rFonts w:ascii="Times New Roman" w:hAnsi="Times New Roman" w:eastAsia="Times New Roman" w:cs="Times New Roman"/>
              <w:spacing w:val="-1"/>
              <w:sz w:val="21"/>
              <w:szCs w:val="21"/>
            </w:rPr>
            <w:fldChar w:fldCharType="end"/>
          </w:r>
        </w:p>
        <w:p>
          <w:pPr>
            <w:tabs>
              <w:tab w:val="right" w:leader="dot" w:pos="5872"/>
            </w:tabs>
            <w:spacing w:before="72" w:line="221"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4.4</w:t>
          </w:r>
          <w:r>
            <w:rPr>
              <w:rFonts w:ascii="宋体" w:hAnsi="宋体" w:eastAsia="宋体" w:cs="宋体"/>
              <w:spacing w:val="2"/>
              <w:sz w:val="21"/>
              <w:szCs w:val="21"/>
            </w:rPr>
            <w:t>系统形式</w:t>
          </w:r>
          <w:r>
            <w:rPr>
              <w:rFonts w:ascii="宋体" w:hAnsi="宋体" w:eastAsia="宋体" w:cs="宋体"/>
              <w:sz w:val="21"/>
              <w:szCs w:val="21"/>
            </w:rPr>
            <w:tab/>
          </w:r>
          <w:r>
            <w:fldChar w:fldCharType="begin"/>
          </w:r>
          <w:r>
            <w:instrText xml:space="preserve"> HYPERLINK \l "bookmark104" </w:instrText>
          </w:r>
          <w:r>
            <w:fldChar w:fldCharType="separate"/>
          </w:r>
          <w:r>
            <w:rPr>
              <w:rFonts w:ascii="Times New Roman" w:hAnsi="Times New Roman" w:eastAsia="Times New Roman" w:cs="Times New Roman"/>
              <w:spacing w:val="-1"/>
              <w:sz w:val="21"/>
              <w:szCs w:val="21"/>
            </w:rPr>
            <w:t>76</w:t>
          </w:r>
          <w:r>
            <w:rPr>
              <w:rFonts w:ascii="Times New Roman" w:hAnsi="Times New Roman" w:eastAsia="Times New Roman" w:cs="Times New Roman"/>
              <w:spacing w:val="-1"/>
              <w:sz w:val="21"/>
              <w:szCs w:val="21"/>
            </w:rPr>
            <w:fldChar w:fldCharType="end"/>
          </w:r>
        </w:p>
        <w:p>
          <w:pPr>
            <w:tabs>
              <w:tab w:val="right" w:leader="dot" w:pos="5862"/>
            </w:tabs>
            <w:spacing w:before="67" w:line="219" w:lineRule="auto"/>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5</w:t>
          </w:r>
          <w:r>
            <w:rPr>
              <w:rFonts w:ascii="宋体" w:hAnsi="宋体" w:eastAsia="宋体" w:cs="宋体"/>
              <w:spacing w:val="5"/>
              <w:sz w:val="21"/>
              <w:szCs w:val="21"/>
            </w:rPr>
            <w:t>消火栓系统</w:t>
          </w:r>
          <w:r>
            <w:rPr>
              <w:rFonts w:ascii="宋体" w:hAnsi="宋体" w:eastAsia="宋体" w:cs="宋体"/>
              <w:sz w:val="21"/>
              <w:szCs w:val="21"/>
            </w:rPr>
            <w:tab/>
          </w:r>
          <w:r>
            <w:fldChar w:fldCharType="begin"/>
          </w:r>
          <w:r>
            <w:instrText xml:space="preserve"> HYPERLINK \l "bookmark105"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72"/>
            </w:tabs>
            <w:spacing w:before="72" w:line="220"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5.1</w:t>
          </w:r>
          <w:r>
            <w:rPr>
              <w:rFonts w:ascii="宋体" w:hAnsi="宋体" w:eastAsia="宋体" w:cs="宋体"/>
              <w:spacing w:val="4"/>
              <w:sz w:val="21"/>
              <w:szCs w:val="21"/>
            </w:rPr>
            <w:t>一般规定</w:t>
          </w:r>
          <w:r>
            <w:rPr>
              <w:rFonts w:ascii="宋体" w:hAnsi="宋体" w:eastAsia="宋体" w:cs="宋体"/>
              <w:sz w:val="21"/>
              <w:szCs w:val="21"/>
            </w:rPr>
            <w:tab/>
          </w:r>
          <w:r>
            <w:fldChar w:fldCharType="begin"/>
          </w:r>
          <w:r>
            <w:instrText xml:space="preserve"> HYPERLINK \l "bookmark106"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82"/>
            </w:tabs>
            <w:spacing w:before="59"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5.2</w:t>
          </w:r>
          <w:r>
            <w:rPr>
              <w:rFonts w:ascii="宋体" w:hAnsi="宋体" w:eastAsia="宋体" w:cs="宋体"/>
              <w:spacing w:val="3"/>
              <w:sz w:val="21"/>
              <w:szCs w:val="21"/>
            </w:rPr>
            <w:t>消火栓用水量</w:t>
          </w:r>
          <w:r>
            <w:rPr>
              <w:rFonts w:ascii="宋体" w:hAnsi="宋体" w:eastAsia="宋体" w:cs="宋体"/>
              <w:sz w:val="21"/>
              <w:szCs w:val="21"/>
            </w:rPr>
            <w:tab/>
          </w:r>
          <w:r>
            <w:fldChar w:fldCharType="begin"/>
          </w:r>
          <w:r>
            <w:instrText xml:space="preserve"> HYPERLINK \l "bookmark107"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67"/>
            </w:tabs>
            <w:spacing w:before="71"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5.3</w:t>
          </w:r>
          <w:r>
            <w:rPr>
              <w:rFonts w:ascii="宋体" w:hAnsi="宋体" w:eastAsia="宋体" w:cs="宋体"/>
              <w:spacing w:val="1"/>
              <w:sz w:val="21"/>
              <w:szCs w:val="21"/>
            </w:rPr>
            <w:t>室外消火栓系统</w:t>
          </w:r>
          <w:r>
            <w:rPr>
              <w:rFonts w:ascii="宋体" w:hAnsi="宋体" w:eastAsia="宋体" w:cs="宋体"/>
              <w:sz w:val="21"/>
              <w:szCs w:val="21"/>
            </w:rPr>
            <w:tab/>
          </w:r>
          <w:r>
            <w:fldChar w:fldCharType="begin"/>
          </w:r>
          <w:r>
            <w:instrText xml:space="preserve"> HYPERLINK \l "bookmark108"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2"/>
              <w:sz w:val="21"/>
              <w:szCs w:val="21"/>
            </w:rPr>
            <w:fldChar w:fldCharType="end"/>
          </w:r>
        </w:p>
        <w:p>
          <w:pPr>
            <w:tabs>
              <w:tab w:val="right" w:leader="dot" w:pos="5857"/>
            </w:tabs>
            <w:spacing w:before="71"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5.4</w:t>
          </w:r>
          <w:r>
            <w:rPr>
              <w:rFonts w:ascii="宋体" w:hAnsi="宋体" w:eastAsia="宋体" w:cs="宋体"/>
              <w:spacing w:val="2"/>
              <w:sz w:val="21"/>
              <w:szCs w:val="21"/>
            </w:rPr>
            <w:t>室内消火栓系统</w:t>
          </w:r>
          <w:r>
            <w:rPr>
              <w:rFonts w:ascii="宋体" w:hAnsi="宋体" w:eastAsia="宋体" w:cs="宋体"/>
              <w:sz w:val="21"/>
              <w:szCs w:val="21"/>
            </w:rPr>
            <w:tab/>
          </w:r>
          <w:r>
            <w:fldChar w:fldCharType="begin"/>
          </w:r>
          <w:r>
            <w:instrText xml:space="preserve"> HYPERLINK \l "bookmark109"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2"/>
              <w:sz w:val="21"/>
              <w:szCs w:val="21"/>
            </w:rPr>
            <w:fldChar w:fldCharType="end"/>
          </w:r>
        </w:p>
        <w:p>
          <w:pPr>
            <w:tabs>
              <w:tab w:val="right" w:leader="dot" w:pos="5857"/>
            </w:tabs>
            <w:spacing w:before="69"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5.5</w:t>
          </w:r>
          <w:r>
            <w:rPr>
              <w:rFonts w:ascii="宋体" w:hAnsi="宋体" w:eastAsia="宋体" w:cs="宋体"/>
              <w:spacing w:val="1"/>
              <w:sz w:val="21"/>
              <w:szCs w:val="21"/>
            </w:rPr>
            <w:t>压缩空气泡沫消火栓系统</w:t>
          </w:r>
          <w:r>
            <w:rPr>
              <w:rFonts w:ascii="宋体" w:hAnsi="宋体" w:eastAsia="宋体" w:cs="宋体"/>
              <w:sz w:val="21"/>
              <w:szCs w:val="21"/>
            </w:rPr>
            <w:tab/>
          </w:r>
          <w:r>
            <w:fldChar w:fldCharType="begin"/>
          </w:r>
          <w:r>
            <w:instrText xml:space="preserve"> HYPERLINK \l "bookmark110" </w:instrText>
          </w:r>
          <w:r>
            <w:fldChar w:fldCharType="separate"/>
          </w:r>
          <w:r>
            <w:rPr>
              <w:rFonts w:ascii="Times New Roman" w:hAnsi="Times New Roman" w:eastAsia="Times New Roman" w:cs="Times New Roman"/>
              <w:spacing w:val="-2"/>
              <w:sz w:val="21"/>
              <w:szCs w:val="21"/>
            </w:rPr>
            <w:t>84</w:t>
          </w:r>
          <w:r>
            <w:rPr>
              <w:rFonts w:ascii="Times New Roman" w:hAnsi="Times New Roman" w:eastAsia="Times New Roman" w:cs="Times New Roman"/>
              <w:spacing w:val="-2"/>
              <w:sz w:val="21"/>
              <w:szCs w:val="21"/>
            </w:rPr>
            <w:fldChar w:fldCharType="end"/>
          </w:r>
        </w:p>
        <w:p>
          <w:pPr>
            <w:tabs>
              <w:tab w:val="right" w:leader="dot" w:pos="5867"/>
            </w:tabs>
            <w:spacing w:before="62"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5.6</w:t>
          </w:r>
          <w:r>
            <w:rPr>
              <w:rFonts w:ascii="宋体" w:hAnsi="宋体" w:eastAsia="宋体" w:cs="宋体"/>
              <w:spacing w:val="4"/>
              <w:sz w:val="21"/>
              <w:szCs w:val="21"/>
            </w:rPr>
            <w:t>控制与操作</w:t>
          </w:r>
          <w:r>
            <w:rPr>
              <w:rFonts w:ascii="宋体" w:hAnsi="宋体" w:eastAsia="宋体" w:cs="宋体"/>
              <w:sz w:val="21"/>
              <w:szCs w:val="21"/>
            </w:rPr>
            <w:tab/>
          </w:r>
          <w:r>
            <w:fldChar w:fldCharType="begin"/>
          </w:r>
          <w:r>
            <w:instrText xml:space="preserve"> HYPERLINK \l "bookmark111" </w:instrText>
          </w:r>
          <w:r>
            <w:fldChar w:fldCharType="separate"/>
          </w:r>
          <w:r>
            <w:rPr>
              <w:rFonts w:ascii="Times New Roman" w:hAnsi="Times New Roman" w:eastAsia="Times New Roman" w:cs="Times New Roman"/>
              <w:spacing w:val="-2"/>
              <w:sz w:val="21"/>
              <w:szCs w:val="21"/>
            </w:rPr>
            <w:t>85</w:t>
          </w:r>
          <w:r>
            <w:rPr>
              <w:rFonts w:ascii="Times New Roman" w:hAnsi="Times New Roman" w:eastAsia="Times New Roman" w:cs="Times New Roman"/>
              <w:spacing w:val="-2"/>
              <w:sz w:val="21"/>
              <w:szCs w:val="21"/>
            </w:rPr>
            <w:fldChar w:fldCharType="end"/>
          </w:r>
        </w:p>
        <w:p>
          <w:pPr>
            <w:tabs>
              <w:tab w:val="right" w:leader="dot" w:pos="5867"/>
            </w:tabs>
            <w:spacing w:before="71" w:line="219" w:lineRule="auto"/>
            <w:rPr>
              <w:rFonts w:ascii="Times New Roman" w:hAnsi="Times New Roman" w:eastAsia="Times New Roman" w:cs="Times New Roman"/>
              <w:sz w:val="21"/>
              <w:szCs w:val="21"/>
            </w:rPr>
          </w:pPr>
          <w:r>
            <w:rPr>
              <w:rFonts w:ascii="Times New Roman" w:hAnsi="Times New Roman" w:eastAsia="Times New Roman" w:cs="Times New Roman"/>
              <w:spacing w:val="9"/>
              <w:sz w:val="21"/>
              <w:szCs w:val="21"/>
            </w:rPr>
            <w:t>6</w:t>
          </w:r>
          <w:r>
            <w:rPr>
              <w:rFonts w:ascii="宋体" w:hAnsi="宋体" w:eastAsia="宋体" w:cs="宋体"/>
              <w:spacing w:val="9"/>
              <w:sz w:val="21"/>
              <w:szCs w:val="21"/>
            </w:rPr>
            <w:t>自动喷水灭火系统</w:t>
          </w:r>
          <w:r>
            <w:rPr>
              <w:rFonts w:ascii="宋体" w:hAnsi="宋体" w:eastAsia="宋体" w:cs="宋体"/>
              <w:sz w:val="21"/>
              <w:szCs w:val="21"/>
            </w:rPr>
            <w:tab/>
          </w:r>
          <w:r>
            <w:fldChar w:fldCharType="begin"/>
          </w:r>
          <w:r>
            <w:instrText xml:space="preserve"> HYPERLINK \l "bookmark112" </w:instrText>
          </w:r>
          <w:r>
            <w:fldChar w:fldCharType="separate"/>
          </w:r>
          <w:r>
            <w:rPr>
              <w:rFonts w:ascii="Times New Roman" w:hAnsi="Times New Roman" w:eastAsia="Times New Roman" w:cs="Times New Roman"/>
              <w:spacing w:val="-2"/>
              <w:sz w:val="21"/>
              <w:szCs w:val="21"/>
            </w:rPr>
            <w:t>87</w:t>
          </w:r>
          <w:r>
            <w:rPr>
              <w:rFonts w:ascii="Times New Roman" w:hAnsi="Times New Roman" w:eastAsia="Times New Roman" w:cs="Times New Roman"/>
              <w:spacing w:val="-2"/>
              <w:sz w:val="21"/>
              <w:szCs w:val="21"/>
            </w:rPr>
            <w:fldChar w:fldCharType="end"/>
          </w:r>
        </w:p>
        <w:p>
          <w:pPr>
            <w:tabs>
              <w:tab w:val="right" w:leader="dot" w:pos="5867"/>
            </w:tabs>
            <w:spacing w:before="72" w:line="220"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6.1</w:t>
          </w:r>
          <w:r>
            <w:rPr>
              <w:rFonts w:ascii="宋体" w:hAnsi="宋体" w:eastAsia="宋体" w:cs="宋体"/>
              <w:spacing w:val="4"/>
              <w:sz w:val="21"/>
              <w:szCs w:val="21"/>
            </w:rPr>
            <w:t>一般规定</w:t>
          </w:r>
          <w:r>
            <w:rPr>
              <w:rFonts w:ascii="宋体" w:hAnsi="宋体" w:eastAsia="宋体" w:cs="宋体"/>
              <w:sz w:val="21"/>
              <w:szCs w:val="21"/>
            </w:rPr>
            <w:tab/>
          </w:r>
          <w:r>
            <w:fldChar w:fldCharType="begin"/>
          </w:r>
          <w:r>
            <w:instrText xml:space="preserve"> HYPERLINK \l "bookmark113" </w:instrText>
          </w:r>
          <w:r>
            <w:fldChar w:fldCharType="separate"/>
          </w:r>
          <w:r>
            <w:rPr>
              <w:rFonts w:ascii="Times New Roman" w:hAnsi="Times New Roman" w:eastAsia="Times New Roman" w:cs="Times New Roman"/>
              <w:spacing w:val="-2"/>
              <w:sz w:val="21"/>
              <w:szCs w:val="21"/>
            </w:rPr>
            <w:t>87</w:t>
          </w:r>
          <w:r>
            <w:rPr>
              <w:rFonts w:ascii="Times New Roman" w:hAnsi="Times New Roman" w:eastAsia="Times New Roman" w:cs="Times New Roman"/>
              <w:spacing w:val="-2"/>
              <w:sz w:val="21"/>
              <w:szCs w:val="21"/>
            </w:rPr>
            <w:fldChar w:fldCharType="end"/>
          </w:r>
        </w:p>
        <w:p>
          <w:pPr>
            <w:tabs>
              <w:tab w:val="right" w:leader="dot" w:pos="5860"/>
            </w:tabs>
            <w:spacing w:before="70" w:line="221"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6.2</w:t>
          </w:r>
          <w:r>
            <w:rPr>
              <w:rFonts w:ascii="宋体" w:hAnsi="宋体" w:eastAsia="宋体" w:cs="宋体"/>
              <w:spacing w:val="2"/>
              <w:sz w:val="21"/>
              <w:szCs w:val="21"/>
            </w:rPr>
            <w:t>设置要求</w:t>
          </w:r>
          <w:r>
            <w:rPr>
              <w:rFonts w:ascii="宋体" w:hAnsi="宋体" w:eastAsia="宋体" w:cs="宋体"/>
              <w:sz w:val="21"/>
              <w:szCs w:val="21"/>
            </w:rPr>
            <w:tab/>
          </w:r>
          <w:r>
            <w:fldChar w:fldCharType="begin"/>
          </w:r>
          <w:r>
            <w:instrText xml:space="preserve"> HYPERLINK \l "bookmark114" </w:instrText>
          </w:r>
          <w:r>
            <w:fldChar w:fldCharType="separate"/>
          </w:r>
          <w:r>
            <w:rPr>
              <w:rFonts w:ascii="Times New Roman" w:hAnsi="Times New Roman" w:eastAsia="Times New Roman" w:cs="Times New Roman"/>
              <w:spacing w:val="-1"/>
              <w:sz w:val="21"/>
              <w:szCs w:val="21"/>
            </w:rPr>
            <w:t>90</w:t>
          </w:r>
          <w:r>
            <w:rPr>
              <w:rFonts w:ascii="Times New Roman" w:hAnsi="Times New Roman" w:eastAsia="Times New Roman" w:cs="Times New Roman"/>
              <w:spacing w:val="-1"/>
              <w:sz w:val="21"/>
              <w:szCs w:val="21"/>
            </w:rPr>
            <w:fldChar w:fldCharType="end"/>
          </w:r>
        </w:p>
        <w:p>
          <w:pPr>
            <w:tabs>
              <w:tab w:val="right" w:leader="dot" w:pos="5860"/>
            </w:tabs>
            <w:spacing w:before="56"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6.3</w:t>
          </w:r>
          <w:r>
            <w:rPr>
              <w:rFonts w:ascii="宋体" w:hAnsi="宋体" w:eastAsia="宋体" w:cs="宋体"/>
              <w:spacing w:val="1"/>
              <w:sz w:val="21"/>
              <w:szCs w:val="21"/>
            </w:rPr>
            <w:t>简易自动喷水灭火系统</w:t>
          </w:r>
          <w:r>
            <w:rPr>
              <w:rFonts w:ascii="宋体" w:hAnsi="宋体" w:eastAsia="宋体" w:cs="宋体"/>
              <w:sz w:val="21"/>
              <w:szCs w:val="21"/>
            </w:rPr>
            <w:tab/>
          </w:r>
          <w:r>
            <w:fldChar w:fldCharType="begin"/>
          </w:r>
          <w:r>
            <w:instrText xml:space="preserve"> HYPERLINK \l "bookmark115" </w:instrText>
          </w:r>
          <w:r>
            <w:fldChar w:fldCharType="separate"/>
          </w:r>
          <w:r>
            <w:rPr>
              <w:rFonts w:ascii="Times New Roman" w:hAnsi="Times New Roman" w:eastAsia="Times New Roman" w:cs="Times New Roman"/>
              <w:spacing w:val="-1"/>
              <w:sz w:val="21"/>
              <w:szCs w:val="21"/>
            </w:rPr>
            <w:t>92</w:t>
          </w:r>
          <w:r>
            <w:rPr>
              <w:rFonts w:ascii="Times New Roman" w:hAnsi="Times New Roman" w:eastAsia="Times New Roman" w:cs="Times New Roman"/>
              <w:spacing w:val="-1"/>
              <w:sz w:val="21"/>
              <w:szCs w:val="21"/>
            </w:rPr>
            <w:fldChar w:fldCharType="end"/>
          </w:r>
        </w:p>
        <w:p>
          <w:pPr>
            <w:tabs>
              <w:tab w:val="right" w:leader="dot" w:pos="5860"/>
            </w:tabs>
            <w:spacing w:before="72" w:line="219"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6.4</w:t>
          </w:r>
          <w:r>
            <w:rPr>
              <w:rFonts w:ascii="宋体" w:hAnsi="宋体" w:eastAsia="宋体" w:cs="宋体"/>
              <w:spacing w:val="4"/>
              <w:sz w:val="21"/>
              <w:szCs w:val="21"/>
            </w:rPr>
            <w:t>控制与操作</w:t>
          </w:r>
          <w:r>
            <w:rPr>
              <w:rFonts w:ascii="宋体" w:hAnsi="宋体" w:eastAsia="宋体" w:cs="宋体"/>
              <w:sz w:val="21"/>
              <w:szCs w:val="21"/>
            </w:rPr>
            <w:tab/>
          </w:r>
          <w:r>
            <w:fldChar w:fldCharType="begin"/>
          </w:r>
          <w:r>
            <w:instrText xml:space="preserve"> HYPERLINK \l "bookmark116" </w:instrText>
          </w:r>
          <w:r>
            <w:fldChar w:fldCharType="separate"/>
          </w:r>
          <w:r>
            <w:rPr>
              <w:rFonts w:ascii="Times New Roman" w:hAnsi="Times New Roman" w:eastAsia="Times New Roman" w:cs="Times New Roman"/>
              <w:spacing w:val="-1"/>
              <w:sz w:val="21"/>
              <w:szCs w:val="21"/>
            </w:rPr>
            <w:t>93</w:t>
          </w:r>
          <w:r>
            <w:rPr>
              <w:rFonts w:ascii="Times New Roman" w:hAnsi="Times New Roman" w:eastAsia="Times New Roman" w:cs="Times New Roman"/>
              <w:spacing w:val="-1"/>
              <w:sz w:val="21"/>
              <w:szCs w:val="21"/>
            </w:rPr>
            <w:fldChar w:fldCharType="end"/>
          </w:r>
        </w:p>
        <w:p>
          <w:pPr>
            <w:tabs>
              <w:tab w:val="right" w:leader="dot" w:pos="5860"/>
            </w:tabs>
            <w:spacing w:before="71" w:line="219" w:lineRule="auto"/>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7</w:t>
          </w:r>
          <w:r>
            <w:rPr>
              <w:rFonts w:ascii="宋体" w:hAnsi="宋体" w:eastAsia="宋体" w:cs="宋体"/>
              <w:spacing w:val="5"/>
              <w:sz w:val="21"/>
              <w:szCs w:val="21"/>
            </w:rPr>
            <w:t>自动跟踪定位射流灭火系统</w:t>
          </w:r>
          <w:r>
            <w:rPr>
              <w:rFonts w:ascii="宋体" w:hAnsi="宋体" w:eastAsia="宋体" w:cs="宋体"/>
              <w:sz w:val="21"/>
              <w:szCs w:val="21"/>
            </w:rPr>
            <w:tab/>
          </w:r>
          <w:r>
            <w:fldChar w:fldCharType="begin"/>
          </w:r>
          <w:r>
            <w:instrText xml:space="preserve"> HYPERLINK \l "bookmark117" </w:instrText>
          </w:r>
          <w:r>
            <w:fldChar w:fldCharType="separate"/>
          </w:r>
          <w:r>
            <w:rPr>
              <w:rFonts w:ascii="Times New Roman" w:hAnsi="Times New Roman" w:eastAsia="Times New Roman" w:cs="Times New Roman"/>
              <w:spacing w:val="-1"/>
              <w:sz w:val="21"/>
              <w:szCs w:val="21"/>
            </w:rPr>
            <w:t>94</w:t>
          </w:r>
          <w:r>
            <w:rPr>
              <w:rFonts w:ascii="Times New Roman" w:hAnsi="Times New Roman" w:eastAsia="Times New Roman" w:cs="Times New Roman"/>
              <w:spacing w:val="-1"/>
              <w:sz w:val="21"/>
              <w:szCs w:val="21"/>
            </w:rPr>
            <w:fldChar w:fldCharType="end"/>
          </w:r>
        </w:p>
      </w:sdtContent>
    </w:sdt>
    <w:p>
      <w:pPr>
        <w:spacing w:line="219" w:lineRule="auto"/>
        <w:rPr>
          <w:rFonts w:ascii="Times New Roman" w:hAnsi="Times New Roman" w:eastAsia="Times New Roman" w:cs="Times New Roman"/>
          <w:sz w:val="21"/>
          <w:szCs w:val="21"/>
        </w:rPr>
        <w:sectPr>
          <w:footerReference r:id="rId75" w:type="default"/>
          <w:pgSz w:w="8280" w:h="11850"/>
          <w:pgMar w:top="400" w:right="1207" w:bottom="1256" w:left="1190" w:header="0" w:footer="1067" w:gutter="0"/>
          <w:cols w:space="720" w:num="1"/>
        </w:sectPr>
      </w:pPr>
    </w:p>
    <w:p>
      <w:pPr>
        <w:pStyle w:val="2"/>
        <w:spacing w:line="280" w:lineRule="auto"/>
      </w:pPr>
    </w:p>
    <w:p>
      <w:pPr>
        <w:pStyle w:val="2"/>
        <w:spacing w:line="281" w:lineRule="auto"/>
      </w:pPr>
    </w:p>
    <w:p>
      <w:pPr>
        <w:pStyle w:val="2"/>
        <w:spacing w:line="281" w:lineRule="auto"/>
      </w:pPr>
    </w:p>
    <w:sdt>
      <w:sdtPr>
        <w:rPr>
          <w:rFonts w:ascii="Times New Roman" w:hAnsi="Times New Roman" w:eastAsia="Times New Roman" w:cs="Times New Roman"/>
          <w:sz w:val="21"/>
          <w:szCs w:val="21"/>
        </w:rPr>
        <w:id w:val="8"/>
        <w:docPartObj>
          <w:docPartGallery w:val="Table of Contents"/>
          <w:docPartUnique/>
        </w:docPartObj>
      </w:sdtPr>
      <w:sdtEndPr>
        <w:rPr>
          <w:rFonts w:ascii="Times New Roman" w:hAnsi="Times New Roman" w:eastAsia="Times New Roman" w:cs="Times New Roman"/>
          <w:sz w:val="21"/>
          <w:szCs w:val="21"/>
        </w:rPr>
      </w:sdtEndPr>
      <w:sdtContent>
        <w:p>
          <w:pPr>
            <w:tabs>
              <w:tab w:val="right" w:leader="dot" w:pos="5832"/>
            </w:tabs>
            <w:spacing w:before="68" w:line="219" w:lineRule="auto"/>
            <w:rPr>
              <w:rFonts w:ascii="Times New Roman" w:hAnsi="Times New Roman" w:eastAsia="Times New Roman" w:cs="Times New Roman"/>
              <w:sz w:val="21"/>
              <w:szCs w:val="21"/>
            </w:rPr>
          </w:pPr>
          <w:bookmarkStart w:id="56" w:name="bookmark98"/>
          <w:bookmarkEnd w:id="56"/>
          <w:bookmarkStart w:id="57" w:name="bookmark99"/>
          <w:bookmarkEnd w:id="57"/>
          <w:r>
            <w:fldChar w:fldCharType="begin"/>
          </w:r>
          <w:r>
            <w:instrText xml:space="preserve"> HYPERLINK \l "bookmark98" </w:instrText>
          </w:r>
          <w:r>
            <w:fldChar w:fldCharType="separate"/>
          </w:r>
          <w:r>
            <w:rPr>
              <w:rFonts w:ascii="Times New Roman" w:hAnsi="Times New Roman" w:eastAsia="Times New Roman" w:cs="Times New Roman"/>
              <w:b/>
              <w:bCs/>
              <w:spacing w:val="-1"/>
              <w:sz w:val="21"/>
              <w:szCs w:val="21"/>
            </w:rPr>
            <w:t>8</w:t>
          </w:r>
          <w:r>
            <w:rPr>
              <w:rFonts w:ascii="宋体" w:hAnsi="宋体" w:eastAsia="宋体" w:cs="宋体"/>
              <w:b/>
              <w:bCs/>
              <w:spacing w:val="-1"/>
              <w:sz w:val="21"/>
              <w:szCs w:val="21"/>
            </w:rPr>
            <w:t>其他灭火系统及装置</w:t>
          </w:r>
          <w:r>
            <w:rPr>
              <w:rFonts w:ascii="宋体" w:hAnsi="宋体" w:eastAsia="宋体" w:cs="宋体"/>
              <w:sz w:val="21"/>
              <w:szCs w:val="21"/>
            </w:rPr>
            <w:tab/>
          </w:r>
          <w:r>
            <w:rPr>
              <w:rFonts w:ascii="Times New Roman" w:hAnsi="Times New Roman" w:eastAsia="Times New Roman" w:cs="Times New Roman"/>
              <w:b/>
              <w:bCs/>
              <w:spacing w:val="-4"/>
              <w:sz w:val="21"/>
              <w:szCs w:val="21"/>
            </w:rPr>
            <w:t>95</w:t>
          </w:r>
          <w:r>
            <w:rPr>
              <w:rFonts w:ascii="Times New Roman" w:hAnsi="Times New Roman" w:eastAsia="Times New Roman" w:cs="Times New Roman"/>
              <w:b/>
              <w:bCs/>
              <w:spacing w:val="-4"/>
              <w:sz w:val="21"/>
              <w:szCs w:val="21"/>
            </w:rPr>
            <w:fldChar w:fldCharType="end"/>
          </w:r>
        </w:p>
        <w:p>
          <w:pPr>
            <w:tabs>
              <w:tab w:val="right" w:leader="dot" w:pos="5830"/>
            </w:tabs>
            <w:spacing w:before="49" w:line="219" w:lineRule="auto"/>
            <w:ind w:left="299"/>
            <w:rPr>
              <w:rFonts w:ascii="Times New Roman" w:hAnsi="Times New Roman" w:eastAsia="Times New Roman" w:cs="Times New Roman"/>
              <w:sz w:val="21"/>
              <w:szCs w:val="21"/>
            </w:rPr>
          </w:pPr>
          <w:r>
            <w:rPr>
              <w:rFonts w:ascii="Times New Roman" w:hAnsi="Times New Roman" w:eastAsia="Times New Roman" w:cs="Times New Roman"/>
              <w:b/>
              <w:bCs/>
              <w:spacing w:val="-4"/>
              <w:sz w:val="21"/>
              <w:szCs w:val="21"/>
            </w:rPr>
            <w:t>8.1</w:t>
          </w:r>
          <w:r>
            <w:rPr>
              <w:rFonts w:ascii="宋体" w:hAnsi="宋体" w:eastAsia="宋体" w:cs="宋体"/>
              <w:b/>
              <w:bCs/>
              <w:spacing w:val="-4"/>
              <w:sz w:val="21"/>
              <w:szCs w:val="21"/>
            </w:rPr>
            <w:t>氮气灭火系统</w:t>
          </w:r>
          <w:r>
            <w:rPr>
              <w:rFonts w:ascii="宋体" w:hAnsi="宋体" w:eastAsia="宋体" w:cs="宋体"/>
              <w:sz w:val="21"/>
              <w:szCs w:val="21"/>
            </w:rPr>
            <w:tab/>
          </w:r>
          <w:r>
            <w:fldChar w:fldCharType="begin"/>
          </w:r>
          <w:r>
            <w:instrText xml:space="preserve"> HYPERLINK \l "bookmark118" </w:instrText>
          </w:r>
          <w:r>
            <w:fldChar w:fldCharType="separate"/>
          </w:r>
          <w:r>
            <w:rPr>
              <w:rFonts w:ascii="Times New Roman" w:hAnsi="Times New Roman" w:eastAsia="Times New Roman" w:cs="Times New Roman"/>
              <w:spacing w:val="2"/>
              <w:sz w:val="21"/>
              <w:szCs w:val="21"/>
            </w:rPr>
            <w:t>95</w:t>
          </w:r>
          <w:r>
            <w:rPr>
              <w:rFonts w:ascii="Times New Roman" w:hAnsi="Times New Roman" w:eastAsia="Times New Roman" w:cs="Times New Roman"/>
              <w:spacing w:val="2"/>
              <w:sz w:val="21"/>
              <w:szCs w:val="21"/>
            </w:rPr>
            <w:fldChar w:fldCharType="end"/>
          </w:r>
        </w:p>
        <w:p>
          <w:pPr>
            <w:tabs>
              <w:tab w:val="right" w:leader="dot" w:pos="5820"/>
            </w:tabs>
            <w:spacing w:before="82" w:line="219" w:lineRule="auto"/>
            <w:ind w:left="299"/>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8.2</w:t>
          </w:r>
          <w:r>
            <w:rPr>
              <w:rFonts w:ascii="宋体" w:hAnsi="宋体" w:eastAsia="宋体" w:cs="宋体"/>
              <w:b/>
              <w:bCs/>
              <w:spacing w:val="-1"/>
              <w:sz w:val="21"/>
              <w:szCs w:val="21"/>
            </w:rPr>
            <w:t>探火管灭火装置</w:t>
          </w:r>
          <w:r>
            <w:rPr>
              <w:rFonts w:ascii="宋体" w:hAnsi="宋体" w:eastAsia="宋体" w:cs="宋体"/>
              <w:sz w:val="21"/>
              <w:szCs w:val="21"/>
            </w:rPr>
            <w:tab/>
          </w:r>
          <w:r>
            <w:fldChar w:fldCharType="begin"/>
          </w:r>
          <w:r>
            <w:instrText xml:space="preserve"> HYPERLINK \l "bookmark119" </w:instrText>
          </w:r>
          <w:r>
            <w:fldChar w:fldCharType="separate"/>
          </w:r>
          <w:r>
            <w:rPr>
              <w:rFonts w:ascii="Times New Roman" w:hAnsi="Times New Roman" w:eastAsia="Times New Roman" w:cs="Times New Roman"/>
              <w:spacing w:val="2"/>
              <w:sz w:val="21"/>
              <w:szCs w:val="21"/>
            </w:rPr>
            <w:t>96</w:t>
          </w:r>
          <w:r>
            <w:rPr>
              <w:rFonts w:ascii="Times New Roman" w:hAnsi="Times New Roman" w:eastAsia="Times New Roman" w:cs="Times New Roman"/>
              <w:spacing w:val="2"/>
              <w:sz w:val="21"/>
              <w:szCs w:val="21"/>
            </w:rPr>
            <w:fldChar w:fldCharType="end"/>
          </w:r>
        </w:p>
        <w:p>
          <w:pPr>
            <w:tabs>
              <w:tab w:val="right" w:leader="dot" w:pos="5820"/>
            </w:tabs>
            <w:spacing w:before="49" w:line="219" w:lineRule="auto"/>
            <w:ind w:left="299"/>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8.3</w:t>
          </w:r>
          <w:r>
            <w:rPr>
              <w:rFonts w:ascii="宋体" w:hAnsi="宋体" w:eastAsia="宋体" w:cs="宋体"/>
              <w:b/>
              <w:bCs/>
              <w:spacing w:val="-2"/>
              <w:sz w:val="21"/>
              <w:szCs w:val="21"/>
            </w:rPr>
            <w:t>超细干粉自动灭火装置</w:t>
          </w:r>
          <w:r>
            <w:rPr>
              <w:rFonts w:ascii="宋体" w:hAnsi="宋体" w:eastAsia="宋体" w:cs="宋体"/>
              <w:sz w:val="21"/>
              <w:szCs w:val="21"/>
            </w:rPr>
            <w:tab/>
          </w:r>
          <w:r>
            <w:fldChar w:fldCharType="begin"/>
          </w:r>
          <w:r>
            <w:instrText xml:space="preserve"> HYPERLINK \l "bookmark120" </w:instrText>
          </w:r>
          <w:r>
            <w:fldChar w:fldCharType="separate"/>
          </w:r>
          <w:r>
            <w:rPr>
              <w:rFonts w:ascii="Times New Roman" w:hAnsi="Times New Roman" w:eastAsia="Times New Roman" w:cs="Times New Roman"/>
              <w:spacing w:val="2"/>
              <w:sz w:val="21"/>
              <w:szCs w:val="21"/>
            </w:rPr>
            <w:t>98</w:t>
          </w:r>
          <w:r>
            <w:rPr>
              <w:rFonts w:ascii="Times New Roman" w:hAnsi="Times New Roman" w:eastAsia="Times New Roman" w:cs="Times New Roman"/>
              <w:spacing w:val="2"/>
              <w:sz w:val="21"/>
              <w:szCs w:val="21"/>
            </w:rPr>
            <w:fldChar w:fldCharType="end"/>
          </w:r>
        </w:p>
      </w:sdtContent>
    </w:sdt>
    <w:p>
      <w:pPr>
        <w:spacing w:line="219" w:lineRule="auto"/>
        <w:rPr>
          <w:rFonts w:ascii="Times New Roman" w:hAnsi="Times New Roman" w:eastAsia="Times New Roman" w:cs="Times New Roman"/>
          <w:sz w:val="21"/>
          <w:szCs w:val="21"/>
        </w:rPr>
        <w:sectPr>
          <w:footerReference r:id="rId76" w:type="default"/>
          <w:pgSz w:w="8280" w:h="11850"/>
          <w:pgMar w:top="400" w:right="1226" w:bottom="1316" w:left="1219" w:header="0" w:footer="1126" w:gutter="0"/>
          <w:cols w:space="720" w:num="1"/>
        </w:sectPr>
      </w:pPr>
    </w:p>
    <w:p>
      <w:pPr>
        <w:pStyle w:val="2"/>
        <w:spacing w:line="285" w:lineRule="auto"/>
      </w:pPr>
    </w:p>
    <w:p>
      <w:pPr>
        <w:pStyle w:val="2"/>
        <w:spacing w:line="285" w:lineRule="auto"/>
      </w:pPr>
    </w:p>
    <w:p>
      <w:pPr>
        <w:pStyle w:val="2"/>
        <w:spacing w:line="285" w:lineRule="auto"/>
      </w:pPr>
    </w:p>
    <w:p>
      <w:pPr>
        <w:pStyle w:val="2"/>
        <w:spacing w:line="285" w:lineRule="auto"/>
      </w:pPr>
    </w:p>
    <w:p>
      <w:pPr>
        <w:pStyle w:val="2"/>
        <w:spacing w:line="285" w:lineRule="auto"/>
      </w:pPr>
    </w:p>
    <w:sdt>
      <w:sdtPr>
        <w:rPr>
          <w:rFonts w:ascii="Times New Roman" w:hAnsi="Times New Roman" w:eastAsia="Times New Roman" w:cs="Times New Roman"/>
          <w:sz w:val="32"/>
          <w:szCs w:val="32"/>
        </w:rPr>
        <w:id w:val="9"/>
        <w:docPartObj>
          <w:docPartGallery w:val="Table of Contents"/>
          <w:docPartUnique/>
        </w:docPartObj>
      </w:sdtPr>
      <w:sdtEndPr>
        <w:rPr>
          <w:rFonts w:ascii="Times New Roman" w:hAnsi="Times New Roman" w:eastAsia="Times New Roman" w:cs="Times New Roman"/>
          <w:sz w:val="21"/>
          <w:szCs w:val="21"/>
        </w:rPr>
      </w:sdtEndPr>
      <w:sdtContent>
        <w:p>
          <w:pPr>
            <w:spacing w:before="92" w:line="188" w:lineRule="auto"/>
            <w:ind w:left="2399"/>
            <w:rPr>
              <w:rFonts w:ascii="Times New Roman" w:hAnsi="Times New Roman" w:eastAsia="Times New Roman" w:cs="Times New Roman"/>
              <w:sz w:val="32"/>
              <w:szCs w:val="32"/>
            </w:rPr>
          </w:pPr>
          <w:r>
            <w:rPr>
              <w:rFonts w:ascii="Times New Roman" w:hAnsi="Times New Roman" w:eastAsia="Times New Roman" w:cs="Times New Roman"/>
              <w:spacing w:val="-6"/>
              <w:sz w:val="32"/>
              <w:szCs w:val="32"/>
            </w:rPr>
            <w:t>Contents</w:t>
          </w:r>
        </w:p>
        <w:p>
          <w:pPr>
            <w:pStyle w:val="2"/>
            <w:spacing w:line="314" w:lineRule="auto"/>
          </w:pPr>
        </w:p>
        <w:p>
          <w:pPr>
            <w:pStyle w:val="2"/>
            <w:spacing w:line="314" w:lineRule="auto"/>
          </w:pPr>
        </w:p>
        <w:p>
          <w:pPr>
            <w:tabs>
              <w:tab w:val="right" w:leader="dot" w:pos="5870"/>
            </w:tabs>
            <w:spacing w:before="61" w:line="192" w:lineRule="auto"/>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1Generalprovisions</w:t>
          </w:r>
          <w:r>
            <w:rPr>
              <w:rFonts w:ascii="Times New Roman" w:hAnsi="Times New Roman" w:eastAsia="Times New Roman" w:cs="Times New Roman"/>
              <w:sz w:val="21"/>
              <w:szCs w:val="21"/>
            </w:rPr>
            <w:tab/>
          </w:r>
          <w:r>
            <w:fldChar w:fldCharType="begin"/>
          </w:r>
          <w:r>
            <w:instrText xml:space="preserve"> HYPERLINK \l "bookmark94" </w:instrText>
          </w:r>
          <w:r>
            <w:fldChar w:fldCharType="separate"/>
          </w:r>
          <w:r>
            <w:rPr>
              <w:rFonts w:ascii="Times New Roman" w:hAnsi="Times New Roman" w:eastAsia="Times New Roman" w:cs="Times New Roman"/>
              <w:spacing w:val="-1"/>
              <w:sz w:val="21"/>
              <w:szCs w:val="21"/>
            </w:rPr>
            <w:t>63</w:t>
          </w:r>
          <w:r>
            <w:rPr>
              <w:rFonts w:ascii="Times New Roman" w:hAnsi="Times New Roman" w:eastAsia="Times New Roman" w:cs="Times New Roman"/>
              <w:spacing w:val="-1"/>
              <w:sz w:val="21"/>
              <w:szCs w:val="21"/>
            </w:rPr>
            <w:fldChar w:fldCharType="end"/>
          </w:r>
        </w:p>
        <w:p>
          <w:pPr>
            <w:tabs>
              <w:tab w:val="right" w:leader="dot" w:pos="5870"/>
            </w:tabs>
            <w:spacing w:before="126" w:line="192" w:lineRule="auto"/>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3Settingrange</w:t>
          </w:r>
          <w:r>
            <w:rPr>
              <w:rFonts w:ascii="Times New Roman" w:hAnsi="Times New Roman" w:eastAsia="Times New Roman" w:cs="Times New Roman"/>
              <w:sz w:val="21"/>
              <w:szCs w:val="21"/>
            </w:rPr>
            <w:tab/>
          </w:r>
          <w:r>
            <w:fldChar w:fldCharType="begin"/>
          </w:r>
          <w:r>
            <w:instrText xml:space="preserve"> HYPERLINK \l "bookmark95" </w:instrText>
          </w:r>
          <w:r>
            <w:fldChar w:fldCharType="separate"/>
          </w:r>
          <w:r>
            <w:rPr>
              <w:rFonts w:ascii="Times New Roman" w:hAnsi="Times New Roman" w:eastAsia="Times New Roman" w:cs="Times New Roman"/>
              <w:spacing w:val="-1"/>
              <w:sz w:val="21"/>
              <w:szCs w:val="21"/>
            </w:rPr>
            <w:t>65</w:t>
          </w:r>
          <w:r>
            <w:rPr>
              <w:rFonts w:ascii="Times New Roman" w:hAnsi="Times New Roman" w:eastAsia="Times New Roman" w:cs="Times New Roman"/>
              <w:spacing w:val="-1"/>
              <w:sz w:val="21"/>
              <w:szCs w:val="21"/>
            </w:rPr>
            <w:fldChar w:fldCharType="end"/>
          </w:r>
        </w:p>
        <w:p>
          <w:pPr>
            <w:tabs>
              <w:tab w:val="right" w:leader="dot" w:pos="5870"/>
            </w:tabs>
            <w:spacing w:before="126"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3.1Hydrantwatersupplysyst</w:t>
          </w:r>
          <w:r>
            <w:rPr>
              <w:rFonts w:ascii="Times New Roman" w:hAnsi="Times New Roman" w:eastAsia="Times New Roman" w:cs="Times New Roman"/>
              <w:spacing w:val="-2"/>
              <w:sz w:val="21"/>
              <w:szCs w:val="21"/>
            </w:rPr>
            <w:t>em</w:t>
          </w:r>
          <w:r>
            <w:rPr>
              <w:rFonts w:ascii="Times New Roman" w:hAnsi="Times New Roman" w:eastAsia="Times New Roman" w:cs="Times New Roman"/>
              <w:sz w:val="21"/>
              <w:szCs w:val="21"/>
            </w:rPr>
            <w:tab/>
          </w:r>
          <w:r>
            <w:fldChar w:fldCharType="begin"/>
          </w:r>
          <w:r>
            <w:instrText xml:space="preserve"> HYPERLINK \l "bookmark96" </w:instrText>
          </w:r>
          <w:r>
            <w:fldChar w:fldCharType="separate"/>
          </w:r>
          <w:r>
            <w:rPr>
              <w:rFonts w:ascii="Times New Roman" w:hAnsi="Times New Roman" w:eastAsia="Times New Roman" w:cs="Times New Roman"/>
              <w:spacing w:val="2"/>
              <w:sz w:val="21"/>
              <w:szCs w:val="21"/>
            </w:rPr>
            <w:t>65</w:t>
          </w:r>
          <w:r>
            <w:rPr>
              <w:rFonts w:ascii="Times New Roman" w:hAnsi="Times New Roman" w:eastAsia="Times New Roman" w:cs="Times New Roman"/>
              <w:spacing w:val="2"/>
              <w:sz w:val="21"/>
              <w:szCs w:val="21"/>
            </w:rPr>
            <w:fldChar w:fldCharType="end"/>
          </w:r>
        </w:p>
        <w:p>
          <w:pPr>
            <w:tabs>
              <w:tab w:val="right" w:leader="dot" w:pos="5870"/>
            </w:tabs>
            <w:spacing w:before="126"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3.2Sprinklersystem</w:t>
          </w:r>
          <w:r>
            <w:rPr>
              <w:rFonts w:ascii="Times New Roman" w:hAnsi="Times New Roman" w:eastAsia="Times New Roman" w:cs="Times New Roman"/>
              <w:sz w:val="21"/>
              <w:szCs w:val="21"/>
            </w:rPr>
            <w:tab/>
          </w:r>
          <w:r>
            <w:fldChar w:fldCharType="begin"/>
          </w:r>
          <w:r>
            <w:instrText xml:space="preserve"> HYPERLINK \l "bookmark97" </w:instrText>
          </w:r>
          <w:r>
            <w:fldChar w:fldCharType="separate"/>
          </w:r>
          <w:r>
            <w:rPr>
              <w:rFonts w:ascii="Times New Roman" w:hAnsi="Times New Roman" w:eastAsia="Times New Roman" w:cs="Times New Roman"/>
              <w:spacing w:val="-1"/>
              <w:sz w:val="21"/>
              <w:szCs w:val="21"/>
            </w:rPr>
            <w:t>66</w:t>
          </w:r>
          <w:r>
            <w:rPr>
              <w:rFonts w:ascii="Times New Roman" w:hAnsi="Times New Roman" w:eastAsia="Times New Roman" w:cs="Times New Roman"/>
              <w:spacing w:val="-1"/>
              <w:sz w:val="21"/>
              <w:szCs w:val="21"/>
            </w:rPr>
            <w:fldChar w:fldCharType="end"/>
          </w:r>
        </w:p>
        <w:p>
          <w:pPr>
            <w:spacing w:before="127" w:line="192" w:lineRule="auto"/>
            <w:ind w:left="320"/>
            <w:rPr>
              <w:rFonts w:ascii="Times New Roman" w:hAnsi="Times New Roman" w:eastAsia="Times New Roman" w:cs="Times New Roman"/>
              <w:sz w:val="21"/>
              <w:szCs w:val="21"/>
            </w:rPr>
          </w:pPr>
          <w:r>
            <w:rPr>
              <w:rFonts w:ascii="Times New Roman" w:hAnsi="Times New Roman" w:eastAsia="Times New Roman" w:cs="Times New Roman"/>
              <w:sz w:val="21"/>
              <w:szCs w:val="21"/>
            </w:rPr>
            <w:t>3.3Autotrackingandtargetingjetsupp</w:t>
          </w:r>
          <w:r>
            <w:rPr>
              <w:rFonts w:ascii="Times New Roman" w:hAnsi="Times New Roman" w:eastAsia="Times New Roman" w:cs="Times New Roman"/>
              <w:spacing w:val="-1"/>
              <w:sz w:val="21"/>
              <w:szCs w:val="21"/>
            </w:rPr>
            <w:t>ressionsystem</w:t>
          </w:r>
        </w:p>
        <w:p>
          <w:pPr>
            <w:tabs>
              <w:tab w:val="right" w:leader="dot" w:pos="5775"/>
            </w:tabs>
            <w:spacing w:before="185" w:line="242" w:lineRule="auto"/>
            <w:ind w:left="919"/>
            <w:rPr>
              <w:rFonts w:ascii="黑体" w:hAnsi="黑体" w:eastAsia="黑体" w:cs="黑体"/>
              <w:sz w:val="11"/>
              <w:szCs w:val="11"/>
            </w:rPr>
          </w:pPr>
          <w:r>
            <w:rPr>
              <w:rFonts w:ascii="黑体" w:hAnsi="黑体" w:eastAsia="黑体" w:cs="黑体"/>
              <w:sz w:val="11"/>
              <w:szCs w:val="11"/>
            </w:rPr>
            <w:tab/>
          </w:r>
          <w:r>
            <w:fldChar w:fldCharType="begin"/>
          </w:r>
          <w:r>
            <w:instrText xml:space="preserve"> HYPERLINK \l "bookmark99" </w:instrText>
          </w:r>
          <w:r>
            <w:fldChar w:fldCharType="separate"/>
          </w:r>
          <w:r>
            <w:rPr>
              <w:rFonts w:ascii="黑体" w:hAnsi="黑体" w:eastAsia="黑体" w:cs="黑体"/>
              <w:spacing w:val="-1"/>
              <w:sz w:val="11"/>
              <w:szCs w:val="11"/>
            </w:rPr>
            <w:t>69</w:t>
          </w:r>
          <w:r>
            <w:rPr>
              <w:rFonts w:ascii="黑体" w:hAnsi="黑体" w:eastAsia="黑体" w:cs="黑体"/>
              <w:spacing w:val="-1"/>
              <w:sz w:val="11"/>
              <w:szCs w:val="11"/>
            </w:rPr>
            <w:fldChar w:fldCharType="end"/>
          </w:r>
        </w:p>
        <w:p>
          <w:pPr>
            <w:spacing w:before="107" w:line="192" w:lineRule="auto"/>
            <w:ind w:left="3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3.4Othersfireextinguishingsystemandequipment</w:t>
          </w:r>
        </w:p>
        <w:p>
          <w:pPr>
            <w:tabs>
              <w:tab w:val="right" w:leader="dot" w:pos="5775"/>
            </w:tabs>
            <w:spacing w:before="196" w:line="242" w:lineRule="auto"/>
            <w:ind w:left="919"/>
            <w:rPr>
              <w:rFonts w:ascii="黑体" w:hAnsi="黑体" w:eastAsia="黑体" w:cs="黑体"/>
              <w:sz w:val="11"/>
              <w:szCs w:val="11"/>
            </w:rPr>
          </w:pPr>
          <w:r>
            <w:rPr>
              <w:rFonts w:ascii="黑体" w:hAnsi="黑体" w:eastAsia="黑体" w:cs="黑体"/>
              <w:sz w:val="11"/>
              <w:szCs w:val="11"/>
            </w:rPr>
            <w:tab/>
          </w:r>
          <w:r>
            <w:fldChar w:fldCharType="begin"/>
          </w:r>
          <w:r>
            <w:instrText xml:space="preserve"> HYPERLINK \l "bookmark121" </w:instrText>
          </w:r>
          <w:r>
            <w:fldChar w:fldCharType="separate"/>
          </w:r>
          <w:r>
            <w:rPr>
              <w:rFonts w:ascii="黑体" w:hAnsi="黑体" w:eastAsia="黑体" w:cs="黑体"/>
              <w:spacing w:val="-1"/>
              <w:sz w:val="11"/>
              <w:szCs w:val="11"/>
            </w:rPr>
            <w:t>69</w:t>
          </w:r>
          <w:r>
            <w:rPr>
              <w:rFonts w:ascii="黑体" w:hAnsi="黑体" w:eastAsia="黑体" w:cs="黑体"/>
              <w:spacing w:val="-1"/>
              <w:sz w:val="11"/>
              <w:szCs w:val="11"/>
            </w:rPr>
            <w:fldChar w:fldCharType="end"/>
          </w:r>
        </w:p>
        <w:p>
          <w:pPr>
            <w:tabs>
              <w:tab w:val="right" w:leader="dot" w:pos="5882"/>
            </w:tabs>
            <w:spacing w:before="107" w:line="192" w:lineRule="auto"/>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4Firewatersupply</w:t>
          </w:r>
          <w:r>
            <w:rPr>
              <w:rFonts w:ascii="Times New Roman" w:hAnsi="Times New Roman" w:eastAsia="Times New Roman" w:cs="Times New Roman"/>
              <w:sz w:val="21"/>
              <w:szCs w:val="21"/>
            </w:rPr>
            <w:tab/>
          </w:r>
          <w:r>
            <w:fldChar w:fldCharType="begin"/>
          </w:r>
          <w:r>
            <w:instrText xml:space="preserve"> HYPERLINK \l "bookmark102"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
              <w:sz w:val="21"/>
              <w:szCs w:val="21"/>
            </w:rPr>
            <w:fldChar w:fldCharType="end"/>
          </w:r>
        </w:p>
        <w:p>
          <w:pPr>
            <w:tabs>
              <w:tab w:val="right" w:leader="dot" w:pos="5882"/>
            </w:tabs>
            <w:spacing w:before="12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z w:val="21"/>
              <w:szCs w:val="21"/>
            </w:rPr>
            <w:t>4.1Generalrequ</w:t>
          </w:r>
          <w:r>
            <w:rPr>
              <w:rFonts w:ascii="Times New Roman" w:hAnsi="Times New Roman" w:eastAsia="Times New Roman" w:cs="Times New Roman"/>
              <w:spacing w:val="-1"/>
              <w:sz w:val="21"/>
              <w:szCs w:val="21"/>
            </w:rPr>
            <w:t>irement</w:t>
          </w:r>
          <w:r>
            <w:rPr>
              <w:rFonts w:ascii="Times New Roman" w:hAnsi="Times New Roman" w:eastAsia="Times New Roman" w:cs="Times New Roman"/>
              <w:sz w:val="21"/>
              <w:szCs w:val="21"/>
            </w:rPr>
            <w:tab/>
          </w:r>
          <w:r>
            <w:fldChar w:fldCharType="begin"/>
          </w:r>
          <w:r>
            <w:instrText xml:space="preserve"> HYPERLINK \l "bookmark122"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
              <w:sz w:val="21"/>
              <w:szCs w:val="21"/>
            </w:rPr>
            <w:fldChar w:fldCharType="end"/>
          </w:r>
        </w:p>
        <w:p>
          <w:pPr>
            <w:tabs>
              <w:tab w:val="right" w:leader="dot" w:pos="5872"/>
            </w:tabs>
            <w:spacing w:before="149"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4.2Firewater</w:t>
          </w:r>
          <w:r>
            <w:rPr>
              <w:rFonts w:ascii="Times New Roman" w:hAnsi="Times New Roman" w:eastAsia="Times New Roman" w:cs="Times New Roman"/>
              <w:sz w:val="21"/>
              <w:szCs w:val="21"/>
            </w:rPr>
            <w:tab/>
          </w:r>
          <w:r>
            <w:fldChar w:fldCharType="begin"/>
          </w:r>
          <w:r>
            <w:instrText xml:space="preserve"> HYPERLINK \l "bookmark123" </w:instrText>
          </w:r>
          <w:r>
            <w:fldChar w:fldCharType="separate"/>
          </w:r>
          <w:r>
            <w:rPr>
              <w:rFonts w:ascii="Times New Roman" w:hAnsi="Times New Roman" w:eastAsia="Times New Roman" w:cs="Times New Roman"/>
              <w:sz w:val="21"/>
              <w:szCs w:val="21"/>
            </w:rPr>
            <w:t>72</w:t>
          </w:r>
          <w:r>
            <w:rPr>
              <w:rFonts w:ascii="Times New Roman" w:hAnsi="Times New Roman" w:eastAsia="Times New Roman" w:cs="Times New Roman"/>
              <w:sz w:val="21"/>
              <w:szCs w:val="21"/>
            </w:rPr>
            <w:fldChar w:fldCharType="end"/>
          </w:r>
        </w:p>
        <w:p>
          <w:pPr>
            <w:tabs>
              <w:tab w:val="right" w:leader="dot" w:pos="5882"/>
            </w:tabs>
            <w:spacing w:before="115" w:line="192" w:lineRule="auto"/>
            <w:ind w:left="299"/>
            <w:rPr>
              <w:rFonts w:ascii="Times New Roman" w:hAnsi="Times New Roman" w:eastAsia="Times New Roman" w:cs="Times New Roman"/>
              <w:sz w:val="21"/>
              <w:szCs w:val="21"/>
            </w:rPr>
          </w:pPr>
          <w:r>
            <w:rPr>
              <w:rFonts w:ascii="Times New Roman" w:hAnsi="Times New Roman" w:eastAsia="Times New Roman" w:cs="Times New Roman"/>
              <w:sz w:val="21"/>
              <w:szCs w:val="21"/>
            </w:rPr>
            <w:t>4.3Fireprotectionwate</w:t>
          </w:r>
          <w:r>
            <w:rPr>
              <w:rFonts w:ascii="Times New Roman" w:hAnsi="Times New Roman" w:eastAsia="Times New Roman" w:cs="Times New Roman"/>
              <w:spacing w:val="-1"/>
              <w:sz w:val="21"/>
              <w:szCs w:val="21"/>
            </w:rPr>
            <w:t>rdemand</w:t>
          </w:r>
          <w:r>
            <w:rPr>
              <w:rFonts w:ascii="Times New Roman" w:hAnsi="Times New Roman" w:eastAsia="Times New Roman" w:cs="Times New Roman"/>
              <w:sz w:val="21"/>
              <w:szCs w:val="21"/>
            </w:rPr>
            <w:tab/>
          </w:r>
          <w:r>
            <w:fldChar w:fldCharType="begin"/>
          </w:r>
          <w:r>
            <w:instrText xml:space="preserve"> HYPERLINK \l "bookmark124" </w:instrText>
          </w:r>
          <w:r>
            <w:fldChar w:fldCharType="separate"/>
          </w:r>
          <w:r>
            <w:rPr>
              <w:rFonts w:ascii="Times New Roman" w:hAnsi="Times New Roman" w:eastAsia="Times New Roman" w:cs="Times New Roman"/>
              <w:spacing w:val="-4"/>
              <w:sz w:val="21"/>
              <w:szCs w:val="21"/>
            </w:rPr>
            <w:t>75</w:t>
          </w:r>
          <w:r>
            <w:rPr>
              <w:rFonts w:ascii="Times New Roman" w:hAnsi="Times New Roman" w:eastAsia="Times New Roman" w:cs="Times New Roman"/>
              <w:spacing w:val="-4"/>
              <w:sz w:val="21"/>
              <w:szCs w:val="21"/>
            </w:rPr>
            <w:fldChar w:fldCharType="end"/>
          </w:r>
        </w:p>
        <w:p>
          <w:pPr>
            <w:tabs>
              <w:tab w:val="right" w:leader="dot" w:pos="5882"/>
            </w:tabs>
            <w:spacing w:before="106"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4.4Systemform</w:t>
          </w:r>
          <w:r>
            <w:rPr>
              <w:rFonts w:ascii="Times New Roman" w:hAnsi="Times New Roman" w:eastAsia="Times New Roman" w:cs="Times New Roman"/>
              <w:sz w:val="21"/>
              <w:szCs w:val="21"/>
            </w:rPr>
            <w:tab/>
          </w:r>
          <w:r>
            <w:fldChar w:fldCharType="begin"/>
          </w:r>
          <w:r>
            <w:instrText xml:space="preserve"> HYPERLINK \l "bookmark125" </w:instrText>
          </w:r>
          <w:r>
            <w:fldChar w:fldCharType="separate"/>
          </w:r>
          <w:r>
            <w:rPr>
              <w:rFonts w:ascii="Times New Roman" w:hAnsi="Times New Roman" w:eastAsia="Times New Roman" w:cs="Times New Roman"/>
              <w:spacing w:val="-1"/>
              <w:sz w:val="21"/>
              <w:szCs w:val="21"/>
            </w:rPr>
            <w:t>76</w:t>
          </w:r>
          <w:r>
            <w:rPr>
              <w:rFonts w:ascii="Times New Roman" w:hAnsi="Times New Roman" w:eastAsia="Times New Roman" w:cs="Times New Roman"/>
              <w:spacing w:val="-1"/>
              <w:sz w:val="21"/>
              <w:szCs w:val="21"/>
            </w:rPr>
            <w:fldChar w:fldCharType="end"/>
          </w:r>
        </w:p>
        <w:p>
          <w:pPr>
            <w:tabs>
              <w:tab w:val="right" w:leader="dot" w:pos="5882"/>
            </w:tabs>
            <w:spacing w:before="127" w:line="192" w:lineRule="auto"/>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5Hydrantsystem</w:t>
          </w:r>
          <w:r>
            <w:rPr>
              <w:rFonts w:ascii="Times New Roman" w:hAnsi="Times New Roman" w:eastAsia="Times New Roman" w:cs="Times New Roman"/>
              <w:sz w:val="21"/>
              <w:szCs w:val="21"/>
            </w:rPr>
            <w:tab/>
          </w:r>
          <w:r>
            <w:fldChar w:fldCharType="begin"/>
          </w:r>
          <w:r>
            <w:instrText xml:space="preserve"> HYPERLINK \l "bookmark107"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72"/>
            </w:tabs>
            <w:spacing w:before="12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5.1Generalrequirement</w:t>
          </w:r>
          <w:r>
            <w:rPr>
              <w:rFonts w:ascii="Times New Roman" w:hAnsi="Times New Roman" w:eastAsia="Times New Roman" w:cs="Times New Roman"/>
              <w:sz w:val="21"/>
              <w:szCs w:val="21"/>
            </w:rPr>
            <w:tab/>
          </w:r>
          <w:r>
            <w:fldChar w:fldCharType="begin"/>
          </w:r>
          <w:r>
            <w:instrText xml:space="preserve"> HYPERLINK \l "bookmark126"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72"/>
            </w:tabs>
            <w:spacing w:before="11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z w:val="21"/>
              <w:szCs w:val="21"/>
            </w:rPr>
            <w:t>5.2Hydrantwa</w:t>
          </w:r>
          <w:r>
            <w:rPr>
              <w:rFonts w:ascii="Times New Roman" w:hAnsi="Times New Roman" w:eastAsia="Times New Roman" w:cs="Times New Roman"/>
              <w:spacing w:val="-1"/>
              <w:sz w:val="21"/>
              <w:szCs w:val="21"/>
            </w:rPr>
            <w:t>terdemand</w:t>
          </w:r>
          <w:r>
            <w:rPr>
              <w:rFonts w:ascii="Times New Roman" w:hAnsi="Times New Roman" w:eastAsia="Times New Roman" w:cs="Times New Roman"/>
              <w:sz w:val="21"/>
              <w:szCs w:val="21"/>
            </w:rPr>
            <w:tab/>
          </w:r>
          <w:r>
            <w:fldChar w:fldCharType="begin"/>
          </w:r>
          <w:r>
            <w:instrText xml:space="preserve"> HYPERLINK \l "bookmark127" </w:instrText>
          </w:r>
          <w:r>
            <w:fldChar w:fldCharType="separate"/>
          </w:r>
          <w:r>
            <w:rPr>
              <w:rFonts w:ascii="Times New Roman" w:hAnsi="Times New Roman" w:eastAsia="Times New Roman" w:cs="Times New Roman"/>
              <w:spacing w:val="-1"/>
              <w:sz w:val="21"/>
              <w:szCs w:val="21"/>
            </w:rPr>
            <w:t>79</w:t>
          </w:r>
          <w:r>
            <w:rPr>
              <w:rFonts w:ascii="Times New Roman" w:hAnsi="Times New Roman" w:eastAsia="Times New Roman" w:cs="Times New Roman"/>
              <w:spacing w:val="-1"/>
              <w:sz w:val="21"/>
              <w:szCs w:val="21"/>
            </w:rPr>
            <w:fldChar w:fldCharType="end"/>
          </w:r>
        </w:p>
        <w:p>
          <w:pPr>
            <w:tabs>
              <w:tab w:val="right" w:leader="dot" w:pos="5867"/>
            </w:tabs>
            <w:spacing w:before="12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5.3Outdoorhydrantsystem</w:t>
          </w:r>
          <w:r>
            <w:rPr>
              <w:rFonts w:ascii="Times New Roman" w:hAnsi="Times New Roman" w:eastAsia="Times New Roman" w:cs="Times New Roman"/>
              <w:sz w:val="21"/>
              <w:szCs w:val="21"/>
            </w:rPr>
            <w:tab/>
          </w:r>
          <w:r>
            <w:fldChar w:fldCharType="begin"/>
          </w:r>
          <w:r>
            <w:instrText xml:space="preserve"> HYPERLINK \l "bookmark128"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2"/>
              <w:sz w:val="21"/>
              <w:szCs w:val="21"/>
            </w:rPr>
            <w:fldChar w:fldCharType="end"/>
          </w:r>
        </w:p>
        <w:p>
          <w:pPr>
            <w:tabs>
              <w:tab w:val="right" w:leader="dot" w:pos="5857"/>
            </w:tabs>
            <w:spacing w:before="126"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5.4Indoorhydrantsystem</w:t>
          </w:r>
          <w:r>
            <w:rPr>
              <w:rFonts w:ascii="Times New Roman" w:hAnsi="Times New Roman" w:eastAsia="Times New Roman" w:cs="Times New Roman"/>
              <w:sz w:val="21"/>
              <w:szCs w:val="21"/>
            </w:rPr>
            <w:tab/>
          </w:r>
          <w:r>
            <w:fldChar w:fldCharType="begin"/>
          </w:r>
          <w:r>
            <w:instrText xml:space="preserve"> HYPERLINK \l "bookmark129"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2"/>
              <w:sz w:val="21"/>
              <w:szCs w:val="21"/>
            </w:rPr>
            <w:fldChar w:fldCharType="end"/>
          </w:r>
        </w:p>
        <w:p>
          <w:pPr>
            <w:tabs>
              <w:tab w:val="right" w:leader="dot" w:pos="5867"/>
            </w:tabs>
            <w:spacing w:before="13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5.5Compressedairfoamhydra</w:t>
          </w:r>
          <w:r>
            <w:rPr>
              <w:rFonts w:ascii="Times New Roman" w:hAnsi="Times New Roman" w:eastAsia="Times New Roman" w:cs="Times New Roman"/>
              <w:spacing w:val="-2"/>
              <w:sz w:val="21"/>
              <w:szCs w:val="21"/>
            </w:rPr>
            <w:t>ntsystem</w:t>
          </w:r>
          <w:r>
            <w:rPr>
              <w:rFonts w:ascii="Times New Roman" w:hAnsi="Times New Roman" w:eastAsia="Times New Roman" w:cs="Times New Roman"/>
              <w:sz w:val="21"/>
              <w:szCs w:val="21"/>
            </w:rPr>
            <w:tab/>
          </w:r>
          <w:r>
            <w:fldChar w:fldCharType="begin"/>
          </w:r>
          <w:r>
            <w:instrText xml:space="preserve"> HYPERLINK \l "bookmark130" </w:instrText>
          </w:r>
          <w:r>
            <w:fldChar w:fldCharType="separate"/>
          </w:r>
          <w:r>
            <w:rPr>
              <w:rFonts w:ascii="Times New Roman" w:hAnsi="Times New Roman" w:eastAsia="Times New Roman" w:cs="Times New Roman"/>
              <w:spacing w:val="-2"/>
              <w:sz w:val="21"/>
              <w:szCs w:val="21"/>
            </w:rPr>
            <w:t>84</w:t>
          </w:r>
          <w:r>
            <w:rPr>
              <w:rFonts w:ascii="Times New Roman" w:hAnsi="Times New Roman" w:eastAsia="Times New Roman" w:cs="Times New Roman"/>
              <w:spacing w:val="-2"/>
              <w:sz w:val="21"/>
              <w:szCs w:val="21"/>
            </w:rPr>
            <w:fldChar w:fldCharType="end"/>
          </w:r>
        </w:p>
        <w:p>
          <w:pPr>
            <w:tabs>
              <w:tab w:val="right" w:leader="dot" w:pos="5857"/>
            </w:tabs>
            <w:spacing w:before="10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5.6Controlandoperati</w:t>
          </w:r>
          <w:r>
            <w:rPr>
              <w:rFonts w:ascii="Times New Roman" w:hAnsi="Times New Roman" w:eastAsia="Times New Roman" w:cs="Times New Roman"/>
              <w:spacing w:val="-2"/>
              <w:sz w:val="21"/>
              <w:szCs w:val="21"/>
            </w:rPr>
            <w:t>on</w:t>
          </w:r>
          <w:r>
            <w:rPr>
              <w:rFonts w:ascii="Times New Roman" w:hAnsi="Times New Roman" w:eastAsia="Times New Roman" w:cs="Times New Roman"/>
              <w:sz w:val="21"/>
              <w:szCs w:val="21"/>
            </w:rPr>
            <w:tab/>
          </w:r>
          <w:r>
            <w:fldChar w:fldCharType="begin"/>
          </w:r>
          <w:r>
            <w:instrText xml:space="preserve"> HYPERLINK \l "bookmark131" </w:instrText>
          </w:r>
          <w:r>
            <w:fldChar w:fldCharType="separate"/>
          </w:r>
          <w:r>
            <w:rPr>
              <w:rFonts w:ascii="Times New Roman" w:hAnsi="Times New Roman" w:eastAsia="Times New Roman" w:cs="Times New Roman"/>
              <w:spacing w:val="-2"/>
              <w:sz w:val="21"/>
              <w:szCs w:val="21"/>
            </w:rPr>
            <w:t>85</w:t>
          </w:r>
          <w:r>
            <w:rPr>
              <w:rFonts w:ascii="Times New Roman" w:hAnsi="Times New Roman" w:eastAsia="Times New Roman" w:cs="Times New Roman"/>
              <w:spacing w:val="-2"/>
              <w:sz w:val="21"/>
              <w:szCs w:val="21"/>
            </w:rPr>
            <w:fldChar w:fldCharType="end"/>
          </w:r>
        </w:p>
        <w:p>
          <w:pPr>
            <w:tabs>
              <w:tab w:val="right" w:leader="dot" w:pos="5867"/>
            </w:tabs>
            <w:spacing w:before="147" w:line="192" w:lineRule="auto"/>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6Sprinklersystem</w:t>
          </w:r>
          <w:r>
            <w:rPr>
              <w:rFonts w:ascii="Times New Roman" w:hAnsi="Times New Roman" w:eastAsia="Times New Roman" w:cs="Times New Roman"/>
              <w:sz w:val="21"/>
              <w:szCs w:val="21"/>
            </w:rPr>
            <w:tab/>
          </w:r>
          <w:r>
            <w:fldChar w:fldCharType="begin"/>
          </w:r>
          <w:r>
            <w:instrText xml:space="preserve"> HYPERLINK \l "bookmark132" </w:instrText>
          </w:r>
          <w:r>
            <w:fldChar w:fldCharType="separate"/>
          </w:r>
          <w:r>
            <w:rPr>
              <w:rFonts w:ascii="Times New Roman" w:hAnsi="Times New Roman" w:eastAsia="Times New Roman" w:cs="Times New Roman"/>
              <w:spacing w:val="-2"/>
              <w:sz w:val="21"/>
              <w:szCs w:val="21"/>
            </w:rPr>
            <w:t>87</w:t>
          </w:r>
          <w:r>
            <w:rPr>
              <w:rFonts w:ascii="Times New Roman" w:hAnsi="Times New Roman" w:eastAsia="Times New Roman" w:cs="Times New Roman"/>
              <w:spacing w:val="-2"/>
              <w:sz w:val="21"/>
              <w:szCs w:val="21"/>
            </w:rPr>
            <w:fldChar w:fldCharType="end"/>
          </w:r>
        </w:p>
        <w:p>
          <w:pPr>
            <w:tabs>
              <w:tab w:val="right" w:leader="dot" w:pos="5867"/>
            </w:tabs>
            <w:spacing w:before="10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z w:val="21"/>
              <w:szCs w:val="21"/>
            </w:rPr>
            <w:t>6.1Generalrequi</w:t>
          </w:r>
          <w:r>
            <w:rPr>
              <w:rFonts w:ascii="Times New Roman" w:hAnsi="Times New Roman" w:eastAsia="Times New Roman" w:cs="Times New Roman"/>
              <w:spacing w:val="-1"/>
              <w:sz w:val="21"/>
              <w:szCs w:val="21"/>
            </w:rPr>
            <w:t>rement</w:t>
          </w:r>
          <w:r>
            <w:rPr>
              <w:rFonts w:ascii="Times New Roman" w:hAnsi="Times New Roman" w:eastAsia="Times New Roman" w:cs="Times New Roman"/>
              <w:sz w:val="21"/>
              <w:szCs w:val="21"/>
            </w:rPr>
            <w:tab/>
          </w:r>
          <w:r>
            <w:fldChar w:fldCharType="begin"/>
          </w:r>
          <w:r>
            <w:instrText xml:space="preserve"> HYPERLINK \l "bookmark133" </w:instrText>
          </w:r>
          <w:r>
            <w:fldChar w:fldCharType="separate"/>
          </w:r>
          <w:r>
            <w:rPr>
              <w:rFonts w:ascii="Times New Roman" w:hAnsi="Times New Roman" w:eastAsia="Times New Roman" w:cs="Times New Roman"/>
              <w:spacing w:val="-2"/>
              <w:sz w:val="21"/>
              <w:szCs w:val="21"/>
            </w:rPr>
            <w:t>87</w:t>
          </w:r>
          <w:r>
            <w:rPr>
              <w:rFonts w:ascii="Times New Roman" w:hAnsi="Times New Roman" w:eastAsia="Times New Roman" w:cs="Times New Roman"/>
              <w:spacing w:val="-2"/>
              <w:sz w:val="21"/>
              <w:szCs w:val="21"/>
            </w:rPr>
            <w:fldChar w:fldCharType="end"/>
          </w:r>
        </w:p>
        <w:p>
          <w:pPr>
            <w:tabs>
              <w:tab w:val="right" w:leader="dot" w:pos="5870"/>
            </w:tabs>
            <w:spacing w:before="126"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6.2Requirementstosetting</w:t>
          </w:r>
          <w:r>
            <w:rPr>
              <w:rFonts w:ascii="Times New Roman" w:hAnsi="Times New Roman" w:eastAsia="Times New Roman" w:cs="Times New Roman"/>
              <w:sz w:val="21"/>
              <w:szCs w:val="21"/>
            </w:rPr>
            <w:tab/>
          </w:r>
          <w:r>
            <w:fldChar w:fldCharType="begin"/>
          </w:r>
          <w:r>
            <w:instrText xml:space="preserve"> HYPERLINK \l "bookmark134" </w:instrText>
          </w:r>
          <w:r>
            <w:fldChar w:fldCharType="separate"/>
          </w:r>
          <w:r>
            <w:rPr>
              <w:rFonts w:ascii="Times New Roman" w:hAnsi="Times New Roman" w:eastAsia="Times New Roman" w:cs="Times New Roman"/>
              <w:spacing w:val="-1"/>
              <w:sz w:val="21"/>
              <w:szCs w:val="21"/>
            </w:rPr>
            <w:t>90</w:t>
          </w:r>
          <w:r>
            <w:rPr>
              <w:rFonts w:ascii="Times New Roman" w:hAnsi="Times New Roman" w:eastAsia="Times New Roman" w:cs="Times New Roman"/>
              <w:spacing w:val="-1"/>
              <w:sz w:val="21"/>
              <w:szCs w:val="21"/>
            </w:rPr>
            <w:fldChar w:fldCharType="end"/>
          </w:r>
        </w:p>
        <w:p>
          <w:pPr>
            <w:tabs>
              <w:tab w:val="right" w:leader="dot" w:pos="5880"/>
            </w:tabs>
            <w:spacing w:before="137" w:line="192" w:lineRule="auto"/>
            <w:ind w:left="29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6.3Simplesprinklersyst</w:t>
          </w:r>
          <w:r>
            <w:rPr>
              <w:rFonts w:ascii="Times New Roman" w:hAnsi="Times New Roman" w:eastAsia="Times New Roman" w:cs="Times New Roman"/>
              <w:spacing w:val="-2"/>
              <w:sz w:val="21"/>
              <w:szCs w:val="21"/>
            </w:rPr>
            <w:t>em</w:t>
          </w:r>
          <w:r>
            <w:rPr>
              <w:rFonts w:ascii="Times New Roman" w:hAnsi="Times New Roman" w:eastAsia="Times New Roman" w:cs="Times New Roman"/>
              <w:sz w:val="21"/>
              <w:szCs w:val="21"/>
            </w:rPr>
            <w:tab/>
          </w:r>
          <w:r>
            <w:fldChar w:fldCharType="begin"/>
          </w:r>
          <w:r>
            <w:instrText xml:space="preserve"> HYPERLINK \l "bookmark135" </w:instrText>
          </w:r>
          <w:r>
            <w:fldChar w:fldCharType="separate"/>
          </w:r>
          <w:r>
            <w:rPr>
              <w:rFonts w:ascii="Times New Roman" w:hAnsi="Times New Roman" w:eastAsia="Times New Roman" w:cs="Times New Roman"/>
              <w:spacing w:val="-8"/>
              <w:sz w:val="21"/>
              <w:szCs w:val="21"/>
            </w:rPr>
            <w:t>92</w:t>
          </w:r>
          <w:r>
            <w:rPr>
              <w:rFonts w:ascii="Times New Roman" w:hAnsi="Times New Roman" w:eastAsia="Times New Roman" w:cs="Times New Roman"/>
              <w:spacing w:val="-8"/>
              <w:sz w:val="21"/>
              <w:szCs w:val="21"/>
            </w:rPr>
            <w:fldChar w:fldCharType="end"/>
          </w:r>
        </w:p>
      </w:sdtContent>
    </w:sdt>
    <w:p>
      <w:pPr>
        <w:spacing w:line="192" w:lineRule="auto"/>
        <w:rPr>
          <w:rFonts w:ascii="Times New Roman" w:hAnsi="Times New Roman" w:eastAsia="Times New Roman" w:cs="Times New Roman"/>
          <w:sz w:val="21"/>
          <w:szCs w:val="21"/>
        </w:rPr>
        <w:sectPr>
          <w:footerReference r:id="rId77" w:type="default"/>
          <w:pgSz w:w="8280" w:h="11850"/>
          <w:pgMar w:top="400" w:right="1207" w:bottom="1286" w:left="1190" w:header="0" w:footer="1097" w:gutter="0"/>
          <w:cols w:space="720" w:num="1"/>
        </w:sectPr>
      </w:pPr>
    </w:p>
    <w:p>
      <w:pPr>
        <w:pStyle w:val="2"/>
        <w:spacing w:line="285" w:lineRule="auto"/>
      </w:pPr>
    </w:p>
    <w:p>
      <w:pPr>
        <w:pStyle w:val="2"/>
        <w:spacing w:line="285" w:lineRule="auto"/>
      </w:pPr>
    </w:p>
    <w:p>
      <w:pPr>
        <w:pStyle w:val="2"/>
        <w:spacing w:line="285" w:lineRule="auto"/>
      </w:pPr>
    </w:p>
    <w:sdt>
      <w:sdtPr>
        <w:rPr>
          <w:rFonts w:ascii="Times New Roman" w:hAnsi="Times New Roman" w:eastAsia="Times New Roman" w:cs="Times New Roman"/>
          <w:sz w:val="19"/>
          <w:szCs w:val="19"/>
        </w:rPr>
        <w:id w:val="10"/>
        <w:docPartObj>
          <w:docPartGallery w:val="Table of Contents"/>
          <w:docPartUnique/>
        </w:docPartObj>
      </w:sdtPr>
      <w:sdtEndPr>
        <w:rPr>
          <w:rFonts w:ascii="Times New Roman" w:hAnsi="Times New Roman" w:eastAsia="Times New Roman" w:cs="Times New Roman"/>
          <w:sz w:val="19"/>
          <w:szCs w:val="19"/>
        </w:rPr>
      </w:sdtEndPr>
      <w:sdtContent>
        <w:p>
          <w:pPr>
            <w:tabs>
              <w:tab w:val="right" w:leader="dot" w:pos="5832"/>
            </w:tabs>
            <w:spacing w:before="55" w:line="192" w:lineRule="auto"/>
            <w:ind w:left="310"/>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6.4Controlandoperation</w:t>
          </w:r>
          <w:r>
            <w:rPr>
              <w:rFonts w:ascii="Times New Roman" w:hAnsi="Times New Roman" w:eastAsia="Times New Roman" w:cs="Times New Roman"/>
              <w:sz w:val="19"/>
              <w:szCs w:val="19"/>
            </w:rPr>
            <w:tab/>
          </w:r>
          <w:r>
            <w:fldChar w:fldCharType="begin"/>
          </w:r>
          <w:r>
            <w:instrText xml:space="preserve"> HYPERLINK \l "bookmark136" </w:instrText>
          </w:r>
          <w:r>
            <w:fldChar w:fldCharType="separate"/>
          </w:r>
          <w:r>
            <w:rPr>
              <w:rFonts w:ascii="Times New Roman" w:hAnsi="Times New Roman" w:eastAsia="Times New Roman" w:cs="Times New Roman"/>
              <w:spacing w:val="1"/>
              <w:sz w:val="19"/>
              <w:szCs w:val="19"/>
            </w:rPr>
            <w:t>93</w:t>
          </w:r>
          <w:r>
            <w:rPr>
              <w:rFonts w:ascii="Times New Roman" w:hAnsi="Times New Roman" w:eastAsia="Times New Roman" w:cs="Times New Roman"/>
              <w:spacing w:val="1"/>
              <w:sz w:val="19"/>
              <w:szCs w:val="19"/>
            </w:rPr>
            <w:fldChar w:fldCharType="end"/>
          </w:r>
        </w:p>
        <w:p>
          <w:pPr>
            <w:tabs>
              <w:tab w:val="right" w:leader="dot" w:pos="5832"/>
            </w:tabs>
            <w:spacing w:before="154" w:line="192"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7Autotrackingandtargetingjetsuppressionsyste</w:t>
          </w:r>
          <w:r>
            <w:rPr>
              <w:rFonts w:ascii="Times New Roman" w:hAnsi="Times New Roman" w:eastAsia="Times New Roman" w:cs="Times New Roman"/>
              <w:spacing w:val="-1"/>
              <w:sz w:val="19"/>
              <w:szCs w:val="19"/>
            </w:rPr>
            <w:t>m</w:t>
          </w:r>
          <w:r>
            <w:rPr>
              <w:rFonts w:ascii="Times New Roman" w:hAnsi="Times New Roman" w:eastAsia="Times New Roman" w:cs="Times New Roman"/>
              <w:sz w:val="19"/>
              <w:szCs w:val="19"/>
            </w:rPr>
            <w:tab/>
          </w:r>
          <w:r>
            <w:fldChar w:fldCharType="begin"/>
          </w:r>
          <w:r>
            <w:instrText xml:space="preserve"> HYPERLINK \l "bookmark137" </w:instrText>
          </w:r>
          <w:r>
            <w:fldChar w:fldCharType="separate"/>
          </w:r>
          <w:r>
            <w:rPr>
              <w:rFonts w:ascii="Times New Roman" w:hAnsi="Times New Roman" w:eastAsia="Times New Roman" w:cs="Times New Roman"/>
              <w:spacing w:val="1"/>
              <w:sz w:val="19"/>
              <w:szCs w:val="19"/>
            </w:rPr>
            <w:t>94</w:t>
          </w:r>
          <w:r>
            <w:rPr>
              <w:rFonts w:ascii="Times New Roman" w:hAnsi="Times New Roman" w:eastAsia="Times New Roman" w:cs="Times New Roman"/>
              <w:spacing w:val="1"/>
              <w:sz w:val="19"/>
              <w:szCs w:val="19"/>
            </w:rPr>
            <w:fldChar w:fldCharType="end"/>
          </w:r>
        </w:p>
        <w:p>
          <w:pPr>
            <w:tabs>
              <w:tab w:val="right" w:leader="dot" w:pos="5832"/>
            </w:tabs>
            <w:spacing w:before="125" w:line="192"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8Othersfireextinguishingsystemandequipment</w:t>
          </w:r>
          <w:r>
            <w:rPr>
              <w:rFonts w:ascii="Times New Roman" w:hAnsi="Times New Roman" w:eastAsia="Times New Roman" w:cs="Times New Roman"/>
              <w:sz w:val="19"/>
              <w:szCs w:val="19"/>
            </w:rPr>
            <w:tab/>
          </w:r>
          <w:r>
            <w:fldChar w:fldCharType="begin"/>
          </w:r>
          <w:r>
            <w:instrText xml:space="preserve"> HYPERLINK \l "bookmark138" </w:instrText>
          </w:r>
          <w:r>
            <w:fldChar w:fldCharType="separate"/>
          </w:r>
          <w:r>
            <w:rPr>
              <w:rFonts w:ascii="Times New Roman" w:hAnsi="Times New Roman" w:eastAsia="Times New Roman" w:cs="Times New Roman"/>
              <w:spacing w:val="1"/>
              <w:sz w:val="19"/>
              <w:szCs w:val="19"/>
            </w:rPr>
            <w:t>95</w:t>
          </w:r>
          <w:r>
            <w:rPr>
              <w:rFonts w:ascii="Times New Roman" w:hAnsi="Times New Roman" w:eastAsia="Times New Roman" w:cs="Times New Roman"/>
              <w:spacing w:val="1"/>
              <w:sz w:val="19"/>
              <w:szCs w:val="19"/>
            </w:rPr>
            <w:fldChar w:fldCharType="end"/>
          </w:r>
        </w:p>
        <w:p>
          <w:pPr>
            <w:tabs>
              <w:tab w:val="right" w:leader="dot" w:pos="5822"/>
            </w:tabs>
            <w:spacing w:before="145" w:line="192" w:lineRule="auto"/>
            <w:ind w:left="310"/>
            <w:rPr>
              <w:rFonts w:ascii="Times New Roman" w:hAnsi="Times New Roman" w:eastAsia="Times New Roman" w:cs="Times New Roman"/>
              <w:sz w:val="19"/>
              <w:szCs w:val="19"/>
            </w:rPr>
          </w:pPr>
          <w:r>
            <w:rPr>
              <w:rFonts w:ascii="Times New Roman" w:hAnsi="Times New Roman" w:eastAsia="Times New Roman" w:cs="Times New Roman"/>
              <w:sz w:val="19"/>
              <w:szCs w:val="19"/>
            </w:rPr>
            <w:t>8.1Nitrogenfiree</w:t>
          </w:r>
          <w:r>
            <w:rPr>
              <w:rFonts w:ascii="Times New Roman" w:hAnsi="Times New Roman" w:eastAsia="Times New Roman" w:cs="Times New Roman"/>
              <w:spacing w:val="-1"/>
              <w:sz w:val="19"/>
              <w:szCs w:val="19"/>
            </w:rPr>
            <w:t>xtinguishingsystem</w:t>
          </w:r>
          <w:r>
            <w:rPr>
              <w:rFonts w:ascii="Times New Roman" w:hAnsi="Times New Roman" w:eastAsia="Times New Roman" w:cs="Times New Roman"/>
              <w:sz w:val="19"/>
              <w:szCs w:val="19"/>
            </w:rPr>
            <w:tab/>
          </w:r>
          <w:r>
            <w:fldChar w:fldCharType="begin"/>
          </w:r>
          <w:r>
            <w:instrText xml:space="preserve"> HYPERLINK \l "bookmark139" </w:instrText>
          </w:r>
          <w:r>
            <w:fldChar w:fldCharType="separate"/>
          </w:r>
          <w:r>
            <w:rPr>
              <w:rFonts w:ascii="Times New Roman" w:hAnsi="Times New Roman" w:eastAsia="Times New Roman" w:cs="Times New Roman"/>
              <w:spacing w:val="1"/>
              <w:sz w:val="19"/>
              <w:szCs w:val="19"/>
            </w:rPr>
            <w:t>95</w:t>
          </w:r>
          <w:r>
            <w:rPr>
              <w:rFonts w:ascii="Times New Roman" w:hAnsi="Times New Roman" w:eastAsia="Times New Roman" w:cs="Times New Roman"/>
              <w:spacing w:val="1"/>
              <w:sz w:val="19"/>
              <w:szCs w:val="19"/>
            </w:rPr>
            <w:fldChar w:fldCharType="end"/>
          </w:r>
        </w:p>
        <w:p>
          <w:pPr>
            <w:spacing w:before="135" w:line="192" w:lineRule="auto"/>
            <w:ind w:left="310"/>
            <w:rPr>
              <w:rFonts w:ascii="Times New Roman" w:hAnsi="Times New Roman" w:eastAsia="Times New Roman" w:cs="Times New Roman"/>
              <w:sz w:val="19"/>
              <w:szCs w:val="19"/>
            </w:rPr>
          </w:pPr>
          <w:r>
            <w:rPr>
              <w:rFonts w:ascii="Times New Roman" w:hAnsi="Times New Roman" w:eastAsia="Times New Roman" w:cs="Times New Roman"/>
              <w:sz w:val="19"/>
              <w:szCs w:val="19"/>
            </w:rPr>
            <w:t>8.2Extinguishingequipmentwithfirede</w:t>
          </w:r>
          <w:r>
            <w:rPr>
              <w:rFonts w:ascii="Times New Roman" w:hAnsi="Times New Roman" w:eastAsia="Times New Roman" w:cs="Times New Roman"/>
              <w:spacing w:val="-1"/>
              <w:sz w:val="19"/>
              <w:szCs w:val="19"/>
            </w:rPr>
            <w:t>tectiontube</w:t>
          </w:r>
        </w:p>
        <w:p>
          <w:pPr>
            <w:tabs>
              <w:tab w:val="right" w:leader="dot" w:pos="5757"/>
            </w:tabs>
            <w:spacing w:before="195" w:line="242" w:lineRule="auto"/>
            <w:ind w:left="879"/>
            <w:rPr>
              <w:rFonts w:ascii="黑体" w:hAnsi="黑体" w:eastAsia="黑体" w:cs="黑体"/>
              <w:sz w:val="11"/>
              <w:szCs w:val="11"/>
            </w:rPr>
          </w:pPr>
          <w:r>
            <w:rPr>
              <w:rFonts w:ascii="黑体" w:hAnsi="黑体" w:eastAsia="黑体" w:cs="黑体"/>
              <w:sz w:val="11"/>
              <w:szCs w:val="11"/>
            </w:rPr>
            <w:tab/>
          </w:r>
          <w:r>
            <w:fldChar w:fldCharType="begin"/>
          </w:r>
          <w:r>
            <w:instrText xml:space="preserve"> HYPERLINK \l "bookmark140" </w:instrText>
          </w:r>
          <w:r>
            <w:fldChar w:fldCharType="separate"/>
          </w:r>
          <w:r>
            <w:rPr>
              <w:rFonts w:ascii="黑体" w:hAnsi="黑体" w:eastAsia="黑体" w:cs="黑体"/>
              <w:spacing w:val="-1"/>
              <w:sz w:val="11"/>
              <w:szCs w:val="11"/>
            </w:rPr>
            <w:t>96</w:t>
          </w:r>
          <w:r>
            <w:rPr>
              <w:rFonts w:ascii="黑体" w:hAnsi="黑体" w:eastAsia="黑体" w:cs="黑体"/>
              <w:spacing w:val="-1"/>
              <w:sz w:val="11"/>
              <w:szCs w:val="11"/>
            </w:rPr>
            <w:fldChar w:fldCharType="end"/>
          </w:r>
        </w:p>
        <w:p>
          <w:pPr>
            <w:spacing w:before="135" w:line="192" w:lineRule="auto"/>
            <w:ind w:left="329"/>
            <w:rPr>
              <w:rFonts w:ascii="Times New Roman" w:hAnsi="Times New Roman" w:eastAsia="Times New Roman" w:cs="Times New Roman"/>
              <w:sz w:val="19"/>
              <w:szCs w:val="19"/>
            </w:rPr>
          </w:pPr>
          <w:r>
            <w:rPr>
              <w:rFonts w:ascii="Times New Roman" w:hAnsi="Times New Roman" w:eastAsia="Times New Roman" w:cs="Times New Roman"/>
              <w:sz w:val="19"/>
              <w:szCs w:val="19"/>
            </w:rPr>
            <w:t>8.3Ultra-finepowder</w:t>
          </w:r>
          <w:r>
            <w:rPr>
              <w:rFonts w:ascii="Times New Roman" w:hAnsi="Times New Roman" w:eastAsia="Times New Roman" w:cs="Times New Roman"/>
              <w:spacing w:val="-1"/>
              <w:sz w:val="19"/>
              <w:szCs w:val="19"/>
            </w:rPr>
            <w:t>automaticfireextinguishing</w:t>
          </w:r>
        </w:p>
        <w:p>
          <w:pPr>
            <w:tabs>
              <w:tab w:val="right" w:leader="dot" w:pos="5822"/>
            </w:tabs>
            <w:spacing w:before="136" w:line="192" w:lineRule="auto"/>
            <w:ind w:left="879"/>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equipment</w:t>
          </w:r>
          <w:r>
            <w:rPr>
              <w:rFonts w:ascii="Times New Roman" w:hAnsi="Times New Roman" w:eastAsia="Times New Roman" w:cs="Times New Roman"/>
              <w:sz w:val="19"/>
              <w:szCs w:val="19"/>
            </w:rPr>
            <w:tab/>
          </w:r>
          <w:r>
            <w:fldChar w:fldCharType="begin"/>
          </w:r>
          <w:r>
            <w:instrText xml:space="preserve"> HYPERLINK \l "bookmark141" </w:instrText>
          </w:r>
          <w:r>
            <w:fldChar w:fldCharType="separate"/>
          </w:r>
          <w:r>
            <w:rPr>
              <w:rFonts w:ascii="Times New Roman" w:hAnsi="Times New Roman" w:eastAsia="Times New Roman" w:cs="Times New Roman"/>
              <w:spacing w:val="-2"/>
              <w:sz w:val="19"/>
              <w:szCs w:val="19"/>
            </w:rPr>
            <w:t>98</w:t>
          </w:r>
          <w:r>
            <w:rPr>
              <w:rFonts w:ascii="Times New Roman" w:hAnsi="Times New Roman" w:eastAsia="Times New Roman" w:cs="Times New Roman"/>
              <w:spacing w:val="-2"/>
              <w:sz w:val="19"/>
              <w:szCs w:val="19"/>
            </w:rPr>
            <w:fldChar w:fldCharType="end"/>
          </w:r>
        </w:p>
      </w:sdtContent>
    </w:sdt>
    <w:p>
      <w:pPr>
        <w:spacing w:line="192" w:lineRule="auto"/>
        <w:rPr>
          <w:rFonts w:ascii="Times New Roman" w:hAnsi="Times New Roman" w:eastAsia="Times New Roman" w:cs="Times New Roman"/>
          <w:sz w:val="19"/>
          <w:szCs w:val="19"/>
        </w:rPr>
        <w:sectPr>
          <w:footerReference r:id="rId78" w:type="default"/>
          <w:pgSz w:w="8280" w:h="11850"/>
          <w:pgMar w:top="400" w:right="1242" w:bottom="1337" w:left="1200" w:header="0" w:footer="1120" w:gutter="0"/>
          <w:cols w:space="720" w:num="1"/>
        </w:sectPr>
      </w:pPr>
    </w:p>
    <w:p>
      <w:pPr>
        <w:pStyle w:val="2"/>
        <w:spacing w:line="278" w:lineRule="auto"/>
      </w:pPr>
    </w:p>
    <w:p>
      <w:pPr>
        <w:pStyle w:val="2"/>
        <w:spacing w:line="278" w:lineRule="auto"/>
      </w:pPr>
    </w:p>
    <w:p>
      <w:pPr>
        <w:pStyle w:val="2"/>
        <w:spacing w:line="278" w:lineRule="auto"/>
      </w:pPr>
    </w:p>
    <w:p>
      <w:pPr>
        <w:pStyle w:val="2"/>
        <w:spacing w:line="279" w:lineRule="auto"/>
      </w:pPr>
    </w:p>
    <w:p>
      <w:pPr>
        <w:pStyle w:val="2"/>
        <w:spacing w:line="279" w:lineRule="auto"/>
      </w:pPr>
    </w:p>
    <w:p>
      <w:pPr>
        <w:spacing w:before="84" w:line="222" w:lineRule="auto"/>
        <w:ind w:left="2313"/>
        <w:rPr>
          <w:rFonts w:ascii="黑体" w:hAnsi="黑体" w:eastAsia="黑体" w:cs="黑体"/>
          <w:sz w:val="26"/>
          <w:szCs w:val="26"/>
        </w:rPr>
      </w:pPr>
      <w:bookmarkStart w:id="58" w:name="bookmark122"/>
      <w:bookmarkEnd w:id="58"/>
      <w:bookmarkStart w:id="59" w:name="bookmark100"/>
      <w:bookmarkEnd w:id="59"/>
      <w:bookmarkStart w:id="60" w:name="bookmark102"/>
      <w:bookmarkEnd w:id="60"/>
      <w:bookmarkStart w:id="61" w:name="bookmark123"/>
      <w:bookmarkEnd w:id="61"/>
      <w:bookmarkStart w:id="62" w:name="bookmark101"/>
      <w:bookmarkEnd w:id="62"/>
      <w:r>
        <w:rPr>
          <w:rFonts w:ascii="宋体" w:hAnsi="宋体" w:eastAsia="宋体" w:cs="宋体"/>
          <w:b/>
          <w:bCs/>
          <w:spacing w:val="-18"/>
          <w:sz w:val="26"/>
          <w:szCs w:val="26"/>
        </w:rPr>
        <w:t>1</w:t>
      </w:r>
      <w:r>
        <w:rPr>
          <w:rFonts w:ascii="黑体" w:hAnsi="黑体" w:eastAsia="黑体" w:cs="黑体"/>
          <w:b/>
          <w:bCs/>
          <w:spacing w:val="-18"/>
          <w:sz w:val="26"/>
          <w:szCs w:val="26"/>
        </w:rPr>
        <w:t>总则</w:t>
      </w:r>
    </w:p>
    <w:p>
      <w:pPr>
        <w:pStyle w:val="2"/>
        <w:spacing w:line="293" w:lineRule="auto"/>
      </w:pPr>
    </w:p>
    <w:p>
      <w:pPr>
        <w:pStyle w:val="2"/>
        <w:spacing w:line="293" w:lineRule="auto"/>
      </w:pPr>
    </w:p>
    <w:p>
      <w:pPr>
        <w:spacing w:before="68" w:line="265" w:lineRule="auto"/>
        <w:rPr>
          <w:rFonts w:ascii="宋体" w:hAnsi="宋体" w:eastAsia="宋体" w:cs="宋体"/>
          <w:sz w:val="21"/>
          <w:szCs w:val="21"/>
        </w:rPr>
      </w:pPr>
      <w:r>
        <w:rPr>
          <w:rFonts w:ascii="宋体" w:hAnsi="宋体" w:eastAsia="宋体" w:cs="宋体"/>
          <w:spacing w:val="-8"/>
          <w:sz w:val="21"/>
          <w:szCs w:val="21"/>
        </w:rPr>
        <w:t>1.0.1上海的高层、超高层建筑、综合体建筑较多，建筑密度高，</w:t>
      </w:r>
      <w:r>
        <w:rPr>
          <w:rFonts w:ascii="宋体" w:hAnsi="宋体" w:eastAsia="宋体" w:cs="宋体"/>
          <w:spacing w:val="-1"/>
          <w:sz w:val="21"/>
          <w:szCs w:val="21"/>
        </w:rPr>
        <w:t>功能复杂、规模较大，对于扑救的难度和灭火救援反应速度要求</w:t>
      </w:r>
      <w:r>
        <w:rPr>
          <w:rFonts w:ascii="宋体" w:hAnsi="宋体" w:eastAsia="宋体" w:cs="宋体"/>
          <w:spacing w:val="9"/>
          <w:sz w:val="21"/>
          <w:szCs w:val="21"/>
        </w:rPr>
        <w:t>较高。上海的水源充足，根据《上海市供水规划(2019—2035</w:t>
      </w:r>
      <w:r>
        <w:rPr>
          <w:rFonts w:ascii="宋体" w:hAnsi="宋体" w:eastAsia="宋体" w:cs="宋体"/>
          <w:spacing w:val="-13"/>
          <w:sz w:val="21"/>
          <w:szCs w:val="21"/>
        </w:rPr>
        <w:t>年)》,上海目前基本形成了“1网、2区、39厂”的供水</w:t>
      </w:r>
      <w:r>
        <w:rPr>
          <w:rFonts w:ascii="宋体" w:hAnsi="宋体" w:eastAsia="宋体" w:cs="宋体"/>
          <w:spacing w:val="-14"/>
          <w:sz w:val="21"/>
          <w:szCs w:val="21"/>
        </w:rPr>
        <w:t>布局，构成了</w:t>
      </w:r>
      <w:r>
        <w:rPr>
          <w:rFonts w:ascii="宋体" w:hAnsi="宋体" w:eastAsia="宋体" w:cs="宋体"/>
          <w:spacing w:val="-1"/>
          <w:sz w:val="21"/>
          <w:szCs w:val="21"/>
        </w:rPr>
        <w:t>具有上海特色的供水管网体系。同时，上海救援队伍的灭火装备和战备救援水平相对较高，本标准正是在这个基础上编制的，具</w:t>
      </w:r>
      <w:r>
        <w:rPr>
          <w:rFonts w:ascii="宋体" w:hAnsi="宋体" w:eastAsia="宋体" w:cs="宋体"/>
          <w:spacing w:val="-11"/>
          <w:sz w:val="21"/>
          <w:szCs w:val="21"/>
        </w:rPr>
        <w:t>有可操作、可执行的依据。</w:t>
      </w:r>
    </w:p>
    <w:p>
      <w:pPr>
        <w:spacing w:before="111" w:line="262" w:lineRule="auto"/>
        <w:ind w:right="77"/>
        <w:rPr>
          <w:rFonts w:ascii="宋体" w:hAnsi="宋体" w:eastAsia="宋体" w:cs="宋体"/>
          <w:sz w:val="21"/>
          <w:szCs w:val="21"/>
        </w:rPr>
      </w:pPr>
      <w:r>
        <w:rPr>
          <w:rFonts w:ascii="宋体" w:hAnsi="宋体" w:eastAsia="宋体" w:cs="宋体"/>
          <w:spacing w:val="3"/>
          <w:sz w:val="21"/>
          <w:szCs w:val="21"/>
        </w:rPr>
        <w:t>1.0.2装饰装修工程应按现行《上海市建筑装饰装修工程</w:t>
      </w:r>
      <w:r>
        <w:rPr>
          <w:rFonts w:ascii="宋体" w:hAnsi="宋体" w:eastAsia="宋体" w:cs="宋体"/>
          <w:spacing w:val="2"/>
          <w:sz w:val="21"/>
          <w:szCs w:val="21"/>
        </w:rPr>
        <w:t>管理</w:t>
      </w:r>
      <w:r>
        <w:rPr>
          <w:rFonts w:ascii="宋体" w:hAnsi="宋体" w:eastAsia="宋体" w:cs="宋体"/>
          <w:spacing w:val="-1"/>
          <w:sz w:val="21"/>
          <w:szCs w:val="21"/>
        </w:rPr>
        <w:t>实施办法》的有关规定执行。老旧住宅小区、文物建筑或优秀历史保护建筑应分别按现行上海市工程建设规范《老旧住宅小区消</w:t>
      </w:r>
      <w:r>
        <w:rPr>
          <w:rFonts w:ascii="宋体" w:hAnsi="宋体" w:eastAsia="宋体" w:cs="宋体"/>
          <w:spacing w:val="-4"/>
          <w:sz w:val="21"/>
          <w:szCs w:val="21"/>
        </w:rPr>
        <w:t>防改造技术标准》</w:t>
      </w:r>
      <w:r>
        <w:rPr>
          <w:rFonts w:ascii="Times New Roman" w:hAnsi="Times New Roman" w:eastAsia="Times New Roman" w:cs="Times New Roman"/>
          <w:spacing w:val="-4"/>
          <w:sz w:val="21"/>
          <w:szCs w:val="21"/>
        </w:rPr>
        <w:t>DG/TJ08—2409</w:t>
      </w:r>
      <w:r>
        <w:rPr>
          <w:rFonts w:ascii="宋体" w:hAnsi="宋体" w:eastAsia="宋体" w:cs="宋体"/>
          <w:spacing w:val="-4"/>
          <w:sz w:val="21"/>
          <w:szCs w:val="21"/>
        </w:rPr>
        <w:t>和《文物和优秀历史建筑消防技术标准》</w:t>
      </w:r>
      <w:r>
        <w:rPr>
          <w:rFonts w:ascii="Times New Roman" w:hAnsi="Times New Roman" w:eastAsia="Times New Roman" w:cs="Times New Roman"/>
          <w:spacing w:val="-4"/>
          <w:sz w:val="21"/>
          <w:szCs w:val="21"/>
        </w:rPr>
        <w:t>DG/TJ08—2410</w:t>
      </w:r>
      <w:r>
        <w:rPr>
          <w:rFonts w:ascii="宋体" w:hAnsi="宋体" w:eastAsia="宋体" w:cs="宋体"/>
          <w:spacing w:val="-4"/>
          <w:sz w:val="21"/>
          <w:szCs w:val="21"/>
        </w:rPr>
        <w:t>的有关规定执行。</w:t>
      </w:r>
    </w:p>
    <w:p>
      <w:pPr>
        <w:spacing w:before="91" w:line="273" w:lineRule="auto"/>
        <w:ind w:right="53" w:firstLine="439"/>
        <w:jc w:val="both"/>
        <w:rPr>
          <w:rFonts w:ascii="宋体" w:hAnsi="宋体" w:eastAsia="宋体" w:cs="宋体"/>
          <w:sz w:val="21"/>
          <w:szCs w:val="21"/>
        </w:rPr>
      </w:pPr>
      <w:r>
        <w:rPr>
          <w:rFonts w:ascii="宋体" w:hAnsi="宋体" w:eastAsia="宋体" w:cs="宋体"/>
          <w:spacing w:val="-1"/>
          <w:sz w:val="21"/>
          <w:szCs w:val="21"/>
        </w:rPr>
        <w:t>本标准中的灭火系统，不但包括了室内外消火栓系统、自动喷水灭火系统等传统水灭火系统，还对氮气灭火系统、自动跟踪定位射流灭火系统、探火管灭火装置和超细干粉自动灭火装置提出了规定和细化要求。其他灭火系统和装置，按照国家现行对应</w:t>
      </w:r>
      <w:r>
        <w:rPr>
          <w:rFonts w:ascii="宋体" w:hAnsi="宋体" w:eastAsia="宋体" w:cs="宋体"/>
          <w:spacing w:val="-8"/>
          <w:sz w:val="21"/>
          <w:szCs w:val="21"/>
        </w:rPr>
        <w:t>标准执行，不在本标准适用范围内。</w:t>
      </w:r>
    </w:p>
    <w:p>
      <w:pPr>
        <w:spacing w:before="27" w:line="273" w:lineRule="auto"/>
        <w:ind w:right="95"/>
        <w:jc w:val="both"/>
        <w:rPr>
          <w:rFonts w:ascii="宋体" w:hAnsi="宋体" w:eastAsia="宋体" w:cs="宋体"/>
          <w:sz w:val="21"/>
          <w:szCs w:val="21"/>
        </w:rPr>
      </w:pPr>
      <w:r>
        <w:rPr>
          <w:rFonts w:ascii="Times New Roman" w:hAnsi="Times New Roman" w:eastAsia="Times New Roman" w:cs="Times New Roman"/>
          <w:spacing w:val="-7"/>
          <w:sz w:val="21"/>
          <w:szCs w:val="21"/>
        </w:rPr>
        <w:t>1.0.3</w:t>
      </w:r>
      <w:r>
        <w:rPr>
          <w:rFonts w:ascii="宋体" w:hAnsi="宋体" w:eastAsia="宋体" w:cs="宋体"/>
          <w:spacing w:val="-7"/>
          <w:sz w:val="21"/>
          <w:szCs w:val="21"/>
        </w:rPr>
        <w:t>《中华人民共和国建筑法(2019年修正)》第四条规</w:t>
      </w:r>
      <w:r>
        <w:rPr>
          <w:rFonts w:ascii="宋体" w:hAnsi="宋体" w:eastAsia="宋体" w:cs="宋体"/>
          <w:spacing w:val="-8"/>
          <w:sz w:val="21"/>
          <w:szCs w:val="21"/>
        </w:rPr>
        <w:t>定：“国</w:t>
      </w:r>
      <w:r>
        <w:rPr>
          <w:rFonts w:ascii="宋体" w:hAnsi="宋体" w:eastAsia="宋体" w:cs="宋体"/>
          <w:spacing w:val="-1"/>
          <w:sz w:val="21"/>
          <w:szCs w:val="21"/>
        </w:rPr>
        <w:t>家扶持建筑业的发展，支持建筑科学技术研究，提高房</w:t>
      </w:r>
      <w:r>
        <w:rPr>
          <w:rFonts w:ascii="宋体" w:hAnsi="宋体" w:eastAsia="宋体" w:cs="宋体"/>
          <w:spacing w:val="-2"/>
          <w:sz w:val="21"/>
          <w:szCs w:val="21"/>
        </w:rPr>
        <w:t>屋建筑设</w:t>
      </w:r>
      <w:r>
        <w:rPr>
          <w:rFonts w:ascii="宋体" w:hAnsi="宋体" w:eastAsia="宋体" w:cs="宋体"/>
          <w:spacing w:val="-1"/>
          <w:sz w:val="21"/>
          <w:szCs w:val="21"/>
        </w:rPr>
        <w:t>计水平，鼓励节约能源和保护环境，提倡采用先进技术</w:t>
      </w:r>
      <w:r>
        <w:rPr>
          <w:rFonts w:ascii="宋体" w:hAnsi="宋体" w:eastAsia="宋体" w:cs="宋体"/>
          <w:spacing w:val="-2"/>
          <w:sz w:val="21"/>
          <w:szCs w:val="21"/>
        </w:rPr>
        <w:t>、先进设</w:t>
      </w:r>
      <w:r>
        <w:rPr>
          <w:rFonts w:ascii="宋体" w:hAnsi="宋体" w:eastAsia="宋体" w:cs="宋体"/>
          <w:spacing w:val="-10"/>
          <w:sz w:val="21"/>
          <w:szCs w:val="21"/>
        </w:rPr>
        <w:t>备、先进工艺、新型建筑材料和现代管理方式</w:t>
      </w:r>
      <w:r>
        <w:rPr>
          <w:rFonts w:ascii="宋体" w:hAnsi="宋体" w:eastAsia="宋体" w:cs="宋体"/>
          <w:spacing w:val="-11"/>
          <w:sz w:val="21"/>
          <w:szCs w:val="21"/>
        </w:rPr>
        <w:t>。”</w:t>
      </w:r>
    </w:p>
    <w:p>
      <w:pPr>
        <w:spacing w:before="16" w:line="279" w:lineRule="auto"/>
        <w:ind w:right="73" w:firstLine="419"/>
        <w:jc w:val="both"/>
        <w:rPr>
          <w:rFonts w:ascii="宋体" w:hAnsi="宋体" w:eastAsia="宋体" w:cs="宋体"/>
          <w:sz w:val="21"/>
          <w:szCs w:val="21"/>
        </w:rPr>
      </w:pPr>
      <w:r>
        <w:rPr>
          <w:rFonts w:ascii="宋体" w:hAnsi="宋体" w:eastAsia="宋体" w:cs="宋体"/>
          <w:spacing w:val="-1"/>
          <w:sz w:val="21"/>
          <w:szCs w:val="21"/>
        </w:rPr>
        <w:t>作为民用建筑灭火设施的设计，在遵循国家基本建设和消防工作的有关法律法规、方针政策的同时，还应在设计</w:t>
      </w:r>
      <w:r>
        <w:rPr>
          <w:rFonts w:ascii="宋体" w:hAnsi="宋体" w:eastAsia="宋体" w:cs="宋体"/>
          <w:spacing w:val="-2"/>
          <w:sz w:val="21"/>
          <w:szCs w:val="21"/>
        </w:rPr>
        <w:t>中密切结合</w:t>
      </w:r>
      <w:r>
        <w:rPr>
          <w:rFonts w:ascii="宋体" w:hAnsi="宋体" w:eastAsia="宋体" w:cs="宋体"/>
          <w:spacing w:val="-1"/>
          <w:sz w:val="21"/>
          <w:szCs w:val="21"/>
        </w:rPr>
        <w:t>保护对象的使用功能、内部物品燃烧的发热发烟规律和建筑物内</w:t>
      </w:r>
    </w:p>
    <w:p>
      <w:pPr>
        <w:spacing w:line="279" w:lineRule="auto"/>
        <w:rPr>
          <w:rFonts w:ascii="宋体" w:hAnsi="宋体" w:eastAsia="宋体" w:cs="宋体"/>
          <w:sz w:val="21"/>
          <w:szCs w:val="21"/>
        </w:rPr>
        <w:sectPr>
          <w:footerReference r:id="rId79" w:type="default"/>
          <w:pgSz w:w="8280" w:h="11850"/>
          <w:pgMar w:top="400" w:right="1135" w:bottom="1390" w:left="1200" w:header="0" w:footer="1117" w:gutter="0"/>
          <w:cols w:space="720" w:num="1"/>
        </w:sectPr>
      </w:pPr>
    </w:p>
    <w:p>
      <w:pPr>
        <w:pStyle w:val="2"/>
        <w:spacing w:line="265" w:lineRule="auto"/>
      </w:pPr>
    </w:p>
    <w:p>
      <w:pPr>
        <w:pStyle w:val="2"/>
        <w:spacing w:line="265" w:lineRule="auto"/>
      </w:pPr>
    </w:p>
    <w:p>
      <w:pPr>
        <w:pStyle w:val="2"/>
        <w:spacing w:line="265" w:lineRule="auto"/>
      </w:pPr>
    </w:p>
    <w:p>
      <w:pPr>
        <w:spacing w:before="65" w:line="287" w:lineRule="auto"/>
        <w:ind w:left="99" w:right="70"/>
        <w:jc w:val="both"/>
        <w:rPr>
          <w:rFonts w:ascii="宋体" w:hAnsi="宋体" w:eastAsia="宋体" w:cs="宋体"/>
          <w:sz w:val="20"/>
          <w:szCs w:val="20"/>
        </w:rPr>
      </w:pPr>
      <w:r>
        <w:rPr>
          <w:rFonts w:ascii="宋体" w:hAnsi="宋体" w:eastAsia="宋体" w:cs="宋体"/>
          <w:spacing w:val="16"/>
          <w:sz w:val="20"/>
          <w:szCs w:val="20"/>
        </w:rPr>
        <w:t>部空间条件对火灾热烟气流流动规律的影响，综合进</w:t>
      </w:r>
      <w:r>
        <w:rPr>
          <w:rFonts w:ascii="宋体" w:hAnsi="宋体" w:eastAsia="宋体" w:cs="宋体"/>
          <w:spacing w:val="15"/>
          <w:sz w:val="20"/>
          <w:szCs w:val="20"/>
        </w:rPr>
        <w:t>行科学设</w:t>
      </w:r>
      <w:r>
        <w:rPr>
          <w:rFonts w:ascii="宋体" w:hAnsi="宋体" w:eastAsia="宋体" w:cs="宋体"/>
          <w:sz w:val="20"/>
          <w:szCs w:val="20"/>
        </w:rPr>
        <w:t>计，合理设置灭火系统，保证灭火系统安全可</w:t>
      </w:r>
      <w:r>
        <w:rPr>
          <w:rFonts w:ascii="宋体" w:hAnsi="宋体" w:eastAsia="宋体" w:cs="宋体"/>
          <w:spacing w:val="-1"/>
          <w:sz w:val="20"/>
          <w:szCs w:val="20"/>
        </w:rPr>
        <w:t>靠地启动、有效地进</w:t>
      </w:r>
      <w:r>
        <w:rPr>
          <w:rFonts w:ascii="宋体" w:hAnsi="宋体" w:eastAsia="宋体" w:cs="宋体"/>
          <w:spacing w:val="7"/>
          <w:sz w:val="20"/>
          <w:szCs w:val="20"/>
        </w:rPr>
        <w:t>行灭火，力求技术的先进性和经济上的合理性。科技创新同样适合于灭火设施的设计。故设计中提倡新技术、新工艺、新设备的</w:t>
      </w:r>
      <w:r>
        <w:rPr>
          <w:rFonts w:ascii="宋体" w:hAnsi="宋体" w:eastAsia="宋体" w:cs="宋体"/>
          <w:spacing w:val="10"/>
          <w:sz w:val="20"/>
          <w:szCs w:val="20"/>
        </w:rPr>
        <w:t>应用，但需做到满足本标准第1.0.1条的要求，同时需提供可靠</w:t>
      </w:r>
      <w:r>
        <w:rPr>
          <w:rFonts w:ascii="宋体" w:hAnsi="宋体" w:eastAsia="宋体" w:cs="宋体"/>
          <w:spacing w:val="1"/>
          <w:sz w:val="20"/>
          <w:szCs w:val="20"/>
        </w:rPr>
        <w:t>的技术依据，并有一定的技术措施保证。</w:t>
      </w:r>
    </w:p>
    <w:p>
      <w:pPr>
        <w:spacing w:before="16" w:line="291" w:lineRule="auto"/>
        <w:ind w:left="100" w:right="55" w:firstLine="449"/>
        <w:rPr>
          <w:rFonts w:ascii="宋体" w:hAnsi="宋体" w:eastAsia="宋体" w:cs="宋体"/>
          <w:sz w:val="20"/>
          <w:szCs w:val="20"/>
        </w:rPr>
      </w:pPr>
      <w:r>
        <w:rPr>
          <w:rFonts w:ascii="宋体" w:hAnsi="宋体" w:eastAsia="宋体" w:cs="宋体"/>
          <w:spacing w:val="7"/>
          <w:sz w:val="20"/>
          <w:szCs w:val="20"/>
        </w:rPr>
        <w:t>当设计采用的技术措施、设备超出本标准的规定时，应提出与本标准合理衔接的技术依据。</w:t>
      </w:r>
    </w:p>
    <w:p>
      <w:pPr>
        <w:spacing w:before="5" w:line="281" w:lineRule="auto"/>
        <w:ind w:left="100" w:right="80"/>
        <w:rPr>
          <w:rFonts w:ascii="宋体" w:hAnsi="宋体" w:eastAsia="宋体" w:cs="宋体"/>
          <w:sz w:val="17"/>
          <w:szCs w:val="17"/>
        </w:rPr>
      </w:pPr>
      <w:r>
        <w:rPr>
          <w:rFonts w:ascii="Times New Roman" w:hAnsi="Times New Roman" w:eastAsia="Times New Roman" w:cs="Times New Roman"/>
          <w:spacing w:val="-2"/>
          <w:sz w:val="20"/>
          <w:szCs w:val="20"/>
        </w:rPr>
        <w:t>1.0.5</w:t>
      </w:r>
      <w:r>
        <w:rPr>
          <w:rFonts w:ascii="宋体" w:hAnsi="宋体" w:eastAsia="宋体" w:cs="宋体"/>
          <w:spacing w:val="-2"/>
          <w:sz w:val="20"/>
          <w:szCs w:val="20"/>
        </w:rPr>
        <w:t>消防3</w:t>
      </w:r>
      <w:r>
        <w:rPr>
          <w:rFonts w:ascii="Times New Roman" w:hAnsi="Times New Roman" w:eastAsia="Times New Roman" w:cs="Times New Roman"/>
          <w:spacing w:val="-2"/>
          <w:sz w:val="20"/>
          <w:szCs w:val="20"/>
        </w:rPr>
        <w:t>CF</w:t>
      </w:r>
      <w:r>
        <w:rPr>
          <w:rFonts w:ascii="宋体" w:hAnsi="宋体" w:eastAsia="宋体" w:cs="宋体"/>
          <w:spacing w:val="-2"/>
          <w:sz w:val="20"/>
          <w:szCs w:val="20"/>
        </w:rPr>
        <w:t>认证主要包括：对火灾报警、消防水</w:t>
      </w:r>
      <w:r>
        <w:rPr>
          <w:rFonts w:ascii="宋体" w:hAnsi="宋体" w:eastAsia="宋体" w:cs="宋体"/>
          <w:spacing w:val="-3"/>
          <w:sz w:val="20"/>
          <w:szCs w:val="20"/>
        </w:rPr>
        <w:t>带、自动喷</w:t>
      </w:r>
      <w:r>
        <w:rPr>
          <w:rFonts w:ascii="宋体" w:hAnsi="宋体" w:eastAsia="宋体" w:cs="宋体"/>
          <w:spacing w:val="-1"/>
          <w:sz w:val="20"/>
          <w:szCs w:val="20"/>
        </w:rPr>
        <w:t>水灭火系统、汽车消防车等产品实施强制性认证；对灭火剂、灭火</w:t>
      </w:r>
      <w:r>
        <w:rPr>
          <w:rFonts w:ascii="宋体" w:hAnsi="宋体" w:eastAsia="宋体" w:cs="宋体"/>
          <w:spacing w:val="-7"/>
          <w:sz w:val="20"/>
          <w:szCs w:val="20"/>
        </w:rPr>
        <w:t>器、防火门、消火栓、消防水枪、消防接口、消防应急灯具、防火阻</w:t>
      </w:r>
      <w:r>
        <w:rPr>
          <w:rFonts w:ascii="宋体" w:hAnsi="宋体" w:eastAsia="宋体" w:cs="宋体"/>
          <w:spacing w:val="7"/>
          <w:sz w:val="20"/>
          <w:szCs w:val="20"/>
        </w:rPr>
        <w:t>燃材料、可燃气体报警设备等产品实施型式认可。考虑到消防产</w:t>
      </w:r>
      <w:r>
        <w:rPr>
          <w:rFonts w:ascii="宋体" w:hAnsi="宋体" w:eastAsia="宋体" w:cs="宋体"/>
          <w:spacing w:val="8"/>
          <w:sz w:val="20"/>
          <w:szCs w:val="20"/>
        </w:rPr>
        <w:t>品的质量对于灭火设施的可靠性至关重要，对于灭</w:t>
      </w:r>
      <w:r>
        <w:rPr>
          <w:rFonts w:ascii="宋体" w:hAnsi="宋体" w:eastAsia="宋体" w:cs="宋体"/>
          <w:spacing w:val="7"/>
          <w:sz w:val="20"/>
          <w:szCs w:val="20"/>
        </w:rPr>
        <w:t>火设施中的消</w:t>
      </w:r>
      <w:r>
        <w:rPr>
          <w:rFonts w:ascii="宋体" w:hAnsi="宋体" w:eastAsia="宋体" w:cs="宋体"/>
          <w:sz w:val="20"/>
          <w:szCs w:val="20"/>
        </w:rPr>
        <w:t>防水泵、报警阀组等重要设备及附件，宜选用性能好、可靠性强的</w:t>
      </w:r>
      <w:r>
        <w:rPr>
          <w:rFonts w:ascii="宋体" w:hAnsi="宋体" w:eastAsia="宋体" w:cs="宋体"/>
          <w:spacing w:val="-9"/>
          <w:sz w:val="17"/>
          <w:szCs w:val="17"/>
        </w:rPr>
        <w:t>产品。</w:t>
      </w:r>
    </w:p>
    <w:p>
      <w:pPr>
        <w:spacing w:before="99" w:line="281" w:lineRule="auto"/>
        <w:ind w:firstLine="100"/>
        <w:rPr>
          <w:rFonts w:ascii="宋体" w:hAnsi="宋体" w:eastAsia="宋体" w:cs="宋体"/>
          <w:sz w:val="20"/>
          <w:szCs w:val="20"/>
        </w:rPr>
      </w:pPr>
      <w:r>
        <w:rPr>
          <w:rFonts w:ascii="宋体" w:hAnsi="宋体" w:eastAsia="宋体" w:cs="宋体"/>
          <w:spacing w:val="10"/>
          <w:sz w:val="20"/>
          <w:szCs w:val="20"/>
        </w:rPr>
        <w:t>1.0.6本标准是结合本市实际情况，对现行国家及上</w:t>
      </w:r>
      <w:r>
        <w:rPr>
          <w:rFonts w:ascii="宋体" w:hAnsi="宋体" w:eastAsia="宋体" w:cs="宋体"/>
          <w:spacing w:val="9"/>
          <w:sz w:val="20"/>
          <w:szCs w:val="20"/>
        </w:rPr>
        <w:t>海市灭火</w:t>
      </w:r>
      <w:r>
        <w:rPr>
          <w:rFonts w:ascii="宋体" w:hAnsi="宋体" w:eastAsia="宋体" w:cs="宋体"/>
          <w:spacing w:val="-1"/>
          <w:sz w:val="20"/>
          <w:szCs w:val="20"/>
        </w:rPr>
        <w:t>设施相关标准(包括但不限于《消防设施通用规范》GB55036、《建</w:t>
      </w:r>
      <w:r>
        <w:rPr>
          <w:rFonts w:ascii="宋体" w:hAnsi="宋体" w:eastAsia="宋体" w:cs="宋体"/>
          <w:spacing w:val="-5"/>
          <w:sz w:val="20"/>
          <w:szCs w:val="20"/>
        </w:rPr>
        <w:t>筑防火通用规范》</w:t>
      </w:r>
      <w:r>
        <w:rPr>
          <w:rFonts w:ascii="Times New Roman" w:hAnsi="Times New Roman" w:eastAsia="Times New Roman" w:cs="Times New Roman"/>
          <w:spacing w:val="-5"/>
          <w:sz w:val="20"/>
          <w:szCs w:val="20"/>
        </w:rPr>
        <w:t>GB55037</w:t>
      </w:r>
      <w:r>
        <w:rPr>
          <w:rFonts w:ascii="宋体" w:hAnsi="宋体" w:eastAsia="宋体" w:cs="宋体"/>
          <w:spacing w:val="-5"/>
          <w:sz w:val="20"/>
          <w:szCs w:val="20"/>
        </w:rPr>
        <w:t>、《建筑设计防火规范》</w:t>
      </w:r>
      <w:r>
        <w:rPr>
          <w:rFonts w:ascii="Times New Roman" w:hAnsi="Times New Roman" w:eastAsia="Times New Roman" w:cs="Times New Roman"/>
          <w:spacing w:val="-5"/>
          <w:sz w:val="20"/>
          <w:szCs w:val="20"/>
        </w:rPr>
        <w:t>GB50016</w:t>
      </w:r>
      <w:r>
        <w:rPr>
          <w:rFonts w:ascii="宋体" w:hAnsi="宋体" w:eastAsia="宋体" w:cs="宋体"/>
          <w:spacing w:val="-5"/>
          <w:sz w:val="20"/>
          <w:szCs w:val="20"/>
        </w:rPr>
        <w:t>、《自</w:t>
      </w:r>
      <w:r>
        <w:rPr>
          <w:rFonts w:ascii="宋体" w:hAnsi="宋体" w:eastAsia="宋体" w:cs="宋体"/>
          <w:spacing w:val="6"/>
          <w:sz w:val="20"/>
          <w:szCs w:val="20"/>
        </w:rPr>
        <w:t>动喷水灭火系统设计规范》</w:t>
      </w:r>
      <w:r>
        <w:rPr>
          <w:rFonts w:ascii="宋体" w:hAnsi="宋体" w:eastAsia="宋体" w:cs="宋体"/>
          <w:sz w:val="20"/>
          <w:szCs w:val="20"/>
        </w:rPr>
        <w:t>GB</w:t>
      </w:r>
      <w:r>
        <w:rPr>
          <w:rFonts w:ascii="宋体" w:hAnsi="宋体" w:eastAsia="宋体" w:cs="宋体"/>
          <w:spacing w:val="6"/>
          <w:sz w:val="20"/>
          <w:szCs w:val="20"/>
        </w:rPr>
        <w:t>50084、《干粉灭火系统设计规范》</w:t>
      </w:r>
      <w:r>
        <w:rPr>
          <w:rFonts w:ascii="Times New Roman" w:hAnsi="Times New Roman" w:eastAsia="Times New Roman" w:cs="Times New Roman"/>
          <w:spacing w:val="-3"/>
          <w:sz w:val="20"/>
          <w:szCs w:val="20"/>
        </w:rPr>
        <w:t>GB50347</w:t>
      </w:r>
      <w:r>
        <w:rPr>
          <w:rFonts w:ascii="宋体" w:hAnsi="宋体" w:eastAsia="宋体" w:cs="宋体"/>
          <w:spacing w:val="-3"/>
          <w:sz w:val="20"/>
          <w:szCs w:val="20"/>
        </w:rPr>
        <w:t>、《气体灭火系统设计规范》</w:t>
      </w:r>
      <w:r>
        <w:rPr>
          <w:rFonts w:ascii="Times New Roman" w:hAnsi="Times New Roman" w:eastAsia="Times New Roman" w:cs="Times New Roman"/>
          <w:spacing w:val="-3"/>
          <w:sz w:val="20"/>
          <w:szCs w:val="20"/>
        </w:rPr>
        <w:t>GB50370</w:t>
      </w:r>
      <w:r>
        <w:rPr>
          <w:rFonts w:ascii="宋体" w:hAnsi="宋体" w:eastAsia="宋体" w:cs="宋体"/>
          <w:spacing w:val="-3"/>
          <w:sz w:val="20"/>
          <w:szCs w:val="20"/>
        </w:rPr>
        <w:t>、《消防给水及消火</w:t>
      </w:r>
      <w:r>
        <w:rPr>
          <w:rFonts w:ascii="宋体" w:hAnsi="宋体" w:eastAsia="宋体" w:cs="宋体"/>
          <w:spacing w:val="2"/>
          <w:sz w:val="20"/>
          <w:szCs w:val="20"/>
        </w:rPr>
        <w:t>栓系统技术规范》</w:t>
      </w:r>
      <w:r>
        <w:rPr>
          <w:rFonts w:ascii="Times New Roman" w:hAnsi="Times New Roman" w:eastAsia="Times New Roman" w:cs="Times New Roman"/>
          <w:sz w:val="20"/>
          <w:szCs w:val="20"/>
        </w:rPr>
        <w:t>GB</w:t>
      </w:r>
      <w:r>
        <w:rPr>
          <w:rFonts w:ascii="Times New Roman" w:hAnsi="Times New Roman" w:eastAsia="Times New Roman" w:cs="Times New Roman"/>
          <w:spacing w:val="2"/>
          <w:sz w:val="20"/>
          <w:szCs w:val="20"/>
        </w:rPr>
        <w:t>50974</w:t>
      </w:r>
      <w:r>
        <w:rPr>
          <w:rFonts w:ascii="宋体" w:hAnsi="宋体" w:eastAsia="宋体" w:cs="宋体"/>
          <w:spacing w:val="2"/>
          <w:sz w:val="20"/>
          <w:szCs w:val="20"/>
        </w:rPr>
        <w:t>、《自动跟踪定位射流灭火系统技术标</w:t>
      </w:r>
      <w:r>
        <w:rPr>
          <w:rFonts w:ascii="宋体" w:hAnsi="宋体" w:eastAsia="宋体" w:cs="宋体"/>
          <w:spacing w:val="3"/>
          <w:sz w:val="20"/>
          <w:szCs w:val="20"/>
        </w:rPr>
        <w:t>准》</w:t>
      </w:r>
      <w:r>
        <w:rPr>
          <w:rFonts w:ascii="Times New Roman" w:hAnsi="Times New Roman" w:eastAsia="Times New Roman" w:cs="Times New Roman"/>
          <w:sz w:val="20"/>
          <w:szCs w:val="20"/>
        </w:rPr>
        <w:t>GB</w:t>
      </w:r>
      <w:r>
        <w:rPr>
          <w:rFonts w:ascii="Times New Roman" w:hAnsi="Times New Roman" w:eastAsia="Times New Roman" w:cs="Times New Roman"/>
          <w:spacing w:val="3"/>
          <w:sz w:val="20"/>
          <w:szCs w:val="20"/>
        </w:rPr>
        <w:t>51427</w:t>
      </w:r>
      <w:r>
        <w:rPr>
          <w:rFonts w:ascii="宋体" w:hAnsi="宋体" w:eastAsia="宋体" w:cs="宋体"/>
          <w:spacing w:val="3"/>
          <w:sz w:val="20"/>
          <w:szCs w:val="20"/>
        </w:rPr>
        <w:t>、《展览建筑及布展设计防火规程》</w:t>
      </w:r>
      <w:r>
        <w:rPr>
          <w:rFonts w:ascii="Times New Roman" w:hAnsi="Times New Roman" w:eastAsia="Times New Roman" w:cs="Times New Roman"/>
          <w:sz w:val="20"/>
          <w:szCs w:val="20"/>
        </w:rPr>
        <w:t>DGJ</w:t>
      </w:r>
      <w:r>
        <w:rPr>
          <w:rFonts w:ascii="Times New Roman" w:hAnsi="Times New Roman" w:eastAsia="Times New Roman" w:cs="Times New Roman"/>
          <w:spacing w:val="3"/>
          <w:sz w:val="20"/>
          <w:szCs w:val="20"/>
        </w:rPr>
        <w:t>08—2173</w:t>
      </w:r>
      <w:r>
        <w:rPr>
          <w:rFonts w:ascii="宋体" w:hAnsi="宋体" w:eastAsia="宋体" w:cs="宋体"/>
          <w:spacing w:val="3"/>
          <w:sz w:val="20"/>
          <w:szCs w:val="20"/>
        </w:rPr>
        <w:t>、</w:t>
      </w:r>
      <w:r>
        <w:rPr>
          <w:rFonts w:ascii="宋体" w:hAnsi="宋体" w:eastAsia="宋体" w:cs="宋体"/>
          <w:spacing w:val="10"/>
          <w:sz w:val="20"/>
          <w:szCs w:val="20"/>
        </w:rPr>
        <w:t>《保障性租赁住房设计标准(保障性租赁住房新建分册)》</w:t>
      </w:r>
      <w:r>
        <w:rPr>
          <w:rFonts w:ascii="Times New Roman" w:hAnsi="Times New Roman" w:eastAsia="Times New Roman" w:cs="Times New Roman"/>
          <w:sz w:val="20"/>
          <w:szCs w:val="20"/>
        </w:rPr>
        <w:t>DG</w:t>
      </w:r>
      <w:r>
        <w:rPr>
          <w:rFonts w:ascii="Times New Roman" w:hAnsi="Times New Roman" w:eastAsia="Times New Roman" w:cs="Times New Roman"/>
          <w:spacing w:val="10"/>
          <w:sz w:val="20"/>
          <w:szCs w:val="20"/>
        </w:rPr>
        <w:t>/</w:t>
      </w:r>
      <w:r>
        <w:rPr>
          <w:rFonts w:ascii="Times New Roman" w:hAnsi="Times New Roman" w:eastAsia="Times New Roman" w:cs="Times New Roman"/>
          <w:sz w:val="20"/>
          <w:szCs w:val="20"/>
        </w:rPr>
        <w:t>TJ</w:t>
      </w:r>
      <w:r>
        <w:rPr>
          <w:rFonts w:ascii="Times New Roman" w:hAnsi="Times New Roman" w:eastAsia="Times New Roman" w:cs="Times New Roman"/>
          <w:spacing w:val="8"/>
          <w:sz w:val="20"/>
          <w:szCs w:val="20"/>
        </w:rPr>
        <w:t>08—2291B</w:t>
      </w:r>
      <w:r>
        <w:rPr>
          <w:rFonts w:ascii="宋体" w:hAnsi="宋体" w:eastAsia="宋体" w:cs="宋体"/>
          <w:spacing w:val="8"/>
          <w:sz w:val="20"/>
          <w:szCs w:val="20"/>
        </w:rPr>
        <w:t>、《保障性租赁住房设计标准(保障性租赁住房改建分册)》</w:t>
      </w:r>
      <w:r>
        <w:rPr>
          <w:rFonts w:ascii="Times New Roman" w:hAnsi="Times New Roman" w:eastAsia="Times New Roman" w:cs="Times New Roman"/>
          <w:sz w:val="20"/>
          <w:szCs w:val="20"/>
        </w:rPr>
        <w:t>DG</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TJ</w:t>
      </w:r>
      <w:r>
        <w:rPr>
          <w:rFonts w:ascii="Times New Roman" w:hAnsi="Times New Roman" w:eastAsia="Times New Roman" w:cs="Times New Roman"/>
          <w:spacing w:val="8"/>
          <w:sz w:val="20"/>
          <w:szCs w:val="20"/>
        </w:rPr>
        <w:t>08—2291C</w:t>
      </w:r>
      <w:r>
        <w:rPr>
          <w:rFonts w:ascii="宋体" w:hAnsi="宋体" w:eastAsia="宋体" w:cs="宋体"/>
          <w:spacing w:val="8"/>
          <w:sz w:val="20"/>
          <w:szCs w:val="20"/>
        </w:rPr>
        <w:t>、《大型物流建筑消防设</w:t>
      </w:r>
      <w:r>
        <w:rPr>
          <w:rFonts w:ascii="宋体" w:hAnsi="宋体" w:eastAsia="宋体" w:cs="宋体"/>
          <w:spacing w:val="7"/>
          <w:sz w:val="20"/>
          <w:szCs w:val="20"/>
        </w:rPr>
        <w:t>计标准》</w:t>
      </w:r>
      <w:r>
        <w:rPr>
          <w:rFonts w:ascii="Times New Roman" w:hAnsi="Times New Roman" w:eastAsia="Times New Roman" w:cs="Times New Roman"/>
          <w:sz w:val="20"/>
          <w:szCs w:val="20"/>
        </w:rPr>
        <w:t>DG</w:t>
      </w:r>
      <w:r>
        <w:rPr>
          <w:rFonts w:ascii="Times New Roman" w:hAnsi="Times New Roman" w:eastAsia="Times New Roman" w:cs="Times New Roman"/>
          <w:spacing w:val="7"/>
          <w:sz w:val="20"/>
          <w:szCs w:val="20"/>
        </w:rPr>
        <w:t>/</w:t>
      </w:r>
      <w:r>
        <w:rPr>
          <w:rFonts w:ascii="Times New Roman" w:hAnsi="Times New Roman" w:eastAsia="Times New Roman" w:cs="Times New Roman"/>
          <w:sz w:val="20"/>
          <w:szCs w:val="20"/>
        </w:rPr>
        <w:t>TJ</w:t>
      </w:r>
      <w:r>
        <w:rPr>
          <w:rFonts w:ascii="宋体" w:hAnsi="宋体" w:eastAsia="宋体" w:cs="宋体"/>
          <w:spacing w:val="-2"/>
          <w:sz w:val="20"/>
          <w:szCs w:val="20"/>
        </w:rPr>
        <w:t>08—2343、《城市综合体消防技术标准》</w:t>
      </w:r>
      <w:r>
        <w:rPr>
          <w:rFonts w:ascii="Times New Roman" w:hAnsi="Times New Roman" w:eastAsia="Times New Roman" w:cs="Times New Roman"/>
          <w:spacing w:val="-2"/>
          <w:sz w:val="20"/>
          <w:szCs w:val="20"/>
        </w:rPr>
        <w:t>DG/TJ08—240</w:t>
      </w:r>
      <w:r>
        <w:rPr>
          <w:rFonts w:ascii="Times New Roman" w:hAnsi="Times New Roman" w:eastAsia="Times New Roman" w:cs="Times New Roman"/>
          <w:spacing w:val="-3"/>
          <w:sz w:val="20"/>
          <w:szCs w:val="20"/>
        </w:rPr>
        <w:t>8</w:t>
      </w:r>
      <w:r>
        <w:rPr>
          <w:rFonts w:ascii="宋体" w:hAnsi="宋体" w:eastAsia="宋体" w:cs="宋体"/>
          <w:spacing w:val="-3"/>
          <w:sz w:val="20"/>
          <w:szCs w:val="20"/>
        </w:rPr>
        <w:t>、《老旧住</w:t>
      </w:r>
      <w:r>
        <w:rPr>
          <w:rFonts w:ascii="宋体" w:hAnsi="宋体" w:eastAsia="宋体" w:cs="宋体"/>
          <w:spacing w:val="9"/>
          <w:sz w:val="20"/>
          <w:szCs w:val="20"/>
        </w:rPr>
        <w:t>宅小区消防改造技术标准》</w:t>
      </w:r>
      <w:r>
        <w:rPr>
          <w:rFonts w:ascii="Times New Roman" w:hAnsi="Times New Roman" w:eastAsia="Times New Roman" w:cs="Times New Roman"/>
          <w:sz w:val="20"/>
          <w:szCs w:val="20"/>
        </w:rPr>
        <w:t>DG</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TJ</w:t>
      </w:r>
      <w:r>
        <w:rPr>
          <w:rFonts w:ascii="Times New Roman" w:hAnsi="Times New Roman" w:eastAsia="Times New Roman" w:cs="Times New Roman"/>
          <w:spacing w:val="9"/>
          <w:sz w:val="20"/>
          <w:szCs w:val="20"/>
        </w:rPr>
        <w:t>08—2409</w:t>
      </w:r>
      <w:r>
        <w:rPr>
          <w:rFonts w:ascii="宋体" w:hAnsi="宋体" w:eastAsia="宋体" w:cs="宋体"/>
          <w:spacing w:val="9"/>
          <w:sz w:val="20"/>
          <w:szCs w:val="20"/>
        </w:rPr>
        <w:t>等)的细化和补充，</w:t>
      </w:r>
      <w:r>
        <w:rPr>
          <w:rFonts w:ascii="宋体" w:hAnsi="宋体" w:eastAsia="宋体" w:cs="宋体"/>
          <w:spacing w:val="13"/>
          <w:sz w:val="20"/>
          <w:szCs w:val="20"/>
        </w:rPr>
        <w:t>在前述规范中已经明确的完整条款不再赘述。</w:t>
      </w:r>
    </w:p>
    <w:p>
      <w:pPr>
        <w:spacing w:line="281" w:lineRule="auto"/>
        <w:rPr>
          <w:rFonts w:ascii="宋体" w:hAnsi="宋体" w:eastAsia="宋体" w:cs="宋体"/>
          <w:sz w:val="20"/>
          <w:szCs w:val="20"/>
        </w:rPr>
        <w:sectPr>
          <w:footerReference r:id="rId80" w:type="default"/>
          <w:pgSz w:w="8280" w:h="11850"/>
          <w:pgMar w:top="400" w:right="1169" w:bottom="1431" w:left="1110" w:header="0" w:footer="1172" w:gutter="0"/>
          <w:cols w:space="720" w:num="1"/>
        </w:sectPr>
      </w:pPr>
    </w:p>
    <w:p>
      <w:pPr>
        <w:pStyle w:val="2"/>
      </w:pPr>
    </w:p>
    <w:p>
      <w:pPr>
        <w:pStyle w:val="2"/>
        <w:spacing w:line="241" w:lineRule="auto"/>
      </w:pPr>
    </w:p>
    <w:p>
      <w:pPr>
        <w:pStyle w:val="2"/>
        <w:spacing w:line="241" w:lineRule="auto"/>
      </w:pPr>
    </w:p>
    <w:p>
      <w:pPr>
        <w:pStyle w:val="2"/>
        <w:spacing w:line="241" w:lineRule="auto"/>
      </w:pPr>
    </w:p>
    <w:p>
      <w:pPr>
        <w:pStyle w:val="2"/>
        <w:spacing w:line="241" w:lineRule="auto"/>
      </w:pPr>
    </w:p>
    <w:p>
      <w:pPr>
        <w:pStyle w:val="2"/>
        <w:spacing w:line="241" w:lineRule="auto"/>
      </w:pPr>
    </w:p>
    <w:p>
      <w:pPr>
        <w:spacing w:before="91" w:line="222" w:lineRule="auto"/>
        <w:ind w:left="2193"/>
        <w:rPr>
          <w:rFonts w:ascii="黑体" w:hAnsi="黑体" w:eastAsia="黑体" w:cs="黑体"/>
          <w:sz w:val="28"/>
          <w:szCs w:val="28"/>
        </w:rPr>
      </w:pPr>
      <w:r>
        <w:rPr>
          <w:rFonts w:ascii="宋体" w:hAnsi="宋体" w:eastAsia="宋体" w:cs="宋体"/>
          <w:b/>
          <w:bCs/>
          <w:spacing w:val="-5"/>
          <w:sz w:val="28"/>
          <w:szCs w:val="28"/>
        </w:rPr>
        <w:t>3</w:t>
      </w:r>
      <w:r>
        <w:rPr>
          <w:rFonts w:ascii="黑体" w:hAnsi="黑体" w:eastAsia="黑体" w:cs="黑体"/>
          <w:b/>
          <w:bCs/>
          <w:spacing w:val="-5"/>
          <w:sz w:val="28"/>
          <w:szCs w:val="28"/>
        </w:rPr>
        <w:t>设置范围</w:t>
      </w:r>
    </w:p>
    <w:p>
      <w:pPr>
        <w:pStyle w:val="2"/>
        <w:spacing w:line="295" w:lineRule="auto"/>
      </w:pPr>
    </w:p>
    <w:p>
      <w:pPr>
        <w:pStyle w:val="2"/>
        <w:spacing w:line="296" w:lineRule="auto"/>
      </w:pPr>
    </w:p>
    <w:p>
      <w:pPr>
        <w:spacing w:before="68" w:line="219" w:lineRule="auto"/>
        <w:ind w:left="1943"/>
        <w:rPr>
          <w:rFonts w:ascii="宋体" w:hAnsi="宋体" w:eastAsia="宋体" w:cs="宋体"/>
          <w:sz w:val="21"/>
          <w:szCs w:val="21"/>
        </w:rPr>
      </w:pPr>
      <w:r>
        <w:rPr>
          <w:rFonts w:ascii="宋体" w:hAnsi="宋体" w:eastAsia="宋体" w:cs="宋体"/>
          <w:b/>
          <w:bCs/>
          <w:spacing w:val="-5"/>
          <w:sz w:val="21"/>
          <w:szCs w:val="21"/>
        </w:rPr>
        <w:t>3.1消火栓给水系统</w:t>
      </w:r>
    </w:p>
    <w:p>
      <w:pPr>
        <w:pStyle w:val="2"/>
        <w:spacing w:line="312" w:lineRule="auto"/>
      </w:pPr>
    </w:p>
    <w:p>
      <w:pPr>
        <w:spacing w:before="69" w:line="265" w:lineRule="auto"/>
        <w:ind w:right="45"/>
        <w:rPr>
          <w:rFonts w:ascii="宋体" w:hAnsi="宋体" w:eastAsia="宋体" w:cs="宋体"/>
          <w:sz w:val="21"/>
          <w:szCs w:val="21"/>
        </w:rPr>
      </w:pPr>
      <w:r>
        <w:rPr>
          <w:rFonts w:ascii="宋体" w:hAnsi="宋体" w:eastAsia="宋体" w:cs="宋体"/>
          <w:spacing w:val="1"/>
          <w:sz w:val="21"/>
          <w:szCs w:val="21"/>
        </w:rPr>
        <w:t>3.1.1第5款指建筑屋面、平台、类首层等设计上用</w:t>
      </w:r>
      <w:r>
        <w:rPr>
          <w:rFonts w:ascii="宋体" w:hAnsi="宋体" w:eastAsia="宋体" w:cs="宋体"/>
          <w:sz w:val="21"/>
          <w:szCs w:val="21"/>
        </w:rPr>
        <w:t>于消防救援</w:t>
      </w:r>
      <w:r>
        <w:rPr>
          <w:rFonts w:ascii="宋体" w:hAnsi="宋体" w:eastAsia="宋体" w:cs="宋体"/>
          <w:spacing w:val="-1"/>
          <w:sz w:val="21"/>
          <w:szCs w:val="21"/>
        </w:rPr>
        <w:t>和消防车停靠的场地。本条综合了现行国家标准《建筑防火通用</w:t>
      </w:r>
      <w:r>
        <w:rPr>
          <w:rFonts w:ascii="宋体" w:hAnsi="宋体" w:eastAsia="宋体" w:cs="宋体"/>
          <w:spacing w:val="-3"/>
          <w:sz w:val="21"/>
          <w:szCs w:val="21"/>
        </w:rPr>
        <w:t>规范》</w:t>
      </w:r>
      <w:r>
        <w:rPr>
          <w:rFonts w:ascii="Times New Roman" w:hAnsi="Times New Roman" w:eastAsia="Times New Roman" w:cs="Times New Roman"/>
          <w:spacing w:val="-3"/>
          <w:sz w:val="21"/>
          <w:szCs w:val="21"/>
        </w:rPr>
        <w:t>GB55037</w:t>
      </w:r>
      <w:r>
        <w:rPr>
          <w:rFonts w:ascii="宋体" w:hAnsi="宋体" w:eastAsia="宋体" w:cs="宋体"/>
          <w:spacing w:val="-3"/>
          <w:sz w:val="21"/>
          <w:szCs w:val="21"/>
        </w:rPr>
        <w:t>和现行上海市工程建设规范《大型物流建</w:t>
      </w:r>
      <w:r>
        <w:rPr>
          <w:rFonts w:ascii="宋体" w:hAnsi="宋体" w:eastAsia="宋体" w:cs="宋体"/>
          <w:spacing w:val="-4"/>
          <w:sz w:val="21"/>
          <w:szCs w:val="21"/>
        </w:rPr>
        <w:t>筑消防</w:t>
      </w:r>
      <w:r>
        <w:rPr>
          <w:rFonts w:ascii="宋体" w:hAnsi="宋体" w:eastAsia="宋体" w:cs="宋体"/>
          <w:spacing w:val="-6"/>
          <w:sz w:val="21"/>
          <w:szCs w:val="21"/>
        </w:rPr>
        <w:t>设计标准》</w:t>
      </w:r>
      <w:r>
        <w:rPr>
          <w:rFonts w:ascii="Times New Roman" w:hAnsi="Times New Roman" w:eastAsia="Times New Roman" w:cs="Times New Roman"/>
          <w:spacing w:val="-6"/>
          <w:sz w:val="21"/>
          <w:szCs w:val="21"/>
        </w:rPr>
        <w:t>DG/TJ08—2343</w:t>
      </w:r>
      <w:r>
        <w:rPr>
          <w:rFonts w:ascii="宋体" w:hAnsi="宋体" w:eastAsia="宋体" w:cs="宋体"/>
          <w:spacing w:val="-6"/>
          <w:sz w:val="21"/>
          <w:szCs w:val="21"/>
        </w:rPr>
        <w:t>、《城市综合体消防技术标准》</w:t>
      </w:r>
      <w:r>
        <w:rPr>
          <w:rFonts w:ascii="Times New Roman" w:hAnsi="Times New Roman" w:eastAsia="Times New Roman" w:cs="Times New Roman"/>
          <w:spacing w:val="-6"/>
          <w:sz w:val="21"/>
          <w:szCs w:val="21"/>
        </w:rPr>
        <w:t>DG/TJ</w:t>
      </w:r>
      <w:r>
        <w:rPr>
          <w:rFonts w:ascii="宋体" w:hAnsi="宋体" w:eastAsia="宋体" w:cs="宋体"/>
          <w:sz w:val="21"/>
          <w:szCs w:val="21"/>
        </w:rPr>
        <w:t>08—2408的相关要求，对于设置在非首</w:t>
      </w:r>
      <w:r>
        <w:rPr>
          <w:rFonts w:ascii="宋体" w:hAnsi="宋体" w:eastAsia="宋体" w:cs="宋体"/>
          <w:spacing w:val="-1"/>
          <w:sz w:val="21"/>
          <w:szCs w:val="21"/>
        </w:rPr>
        <w:t>层、用于满足消防车通行</w:t>
      </w:r>
      <w:r>
        <w:rPr>
          <w:rFonts w:ascii="宋体" w:hAnsi="宋体" w:eastAsia="宋体" w:cs="宋体"/>
          <w:spacing w:val="3"/>
          <w:sz w:val="21"/>
          <w:szCs w:val="21"/>
        </w:rPr>
        <w:t>和人员安全疏散要求的平台(道路),应沿平台(道</w:t>
      </w:r>
      <w:r>
        <w:rPr>
          <w:rFonts w:ascii="宋体" w:hAnsi="宋体" w:eastAsia="宋体" w:cs="宋体"/>
          <w:spacing w:val="2"/>
          <w:sz w:val="21"/>
          <w:szCs w:val="21"/>
        </w:rPr>
        <w:t>路)一侧设置室</w:t>
      </w:r>
      <w:r>
        <w:rPr>
          <w:rFonts w:ascii="宋体" w:hAnsi="宋体" w:eastAsia="宋体" w:cs="宋体"/>
          <w:spacing w:val="-6"/>
          <w:sz w:val="21"/>
          <w:szCs w:val="21"/>
        </w:rPr>
        <w:t>外消火栓，消火栓栓口水压不应小于0.1MPa。</w:t>
      </w:r>
    </w:p>
    <w:p>
      <w:pPr>
        <w:spacing w:before="111" w:line="259" w:lineRule="auto"/>
        <w:ind w:right="76"/>
        <w:rPr>
          <w:rFonts w:ascii="宋体" w:hAnsi="宋体" w:eastAsia="宋体" w:cs="宋体"/>
          <w:sz w:val="21"/>
          <w:szCs w:val="21"/>
        </w:rPr>
      </w:pPr>
      <w:r>
        <w:rPr>
          <w:rFonts w:ascii="Times New Roman" w:hAnsi="Times New Roman" w:eastAsia="Times New Roman" w:cs="Times New Roman"/>
          <w:spacing w:val="1"/>
          <w:sz w:val="21"/>
          <w:szCs w:val="21"/>
        </w:rPr>
        <w:t>3.1.24S</w:t>
      </w:r>
      <w:r>
        <w:rPr>
          <w:rFonts w:ascii="宋体" w:hAnsi="宋体" w:eastAsia="宋体" w:cs="宋体"/>
          <w:spacing w:val="1"/>
          <w:sz w:val="21"/>
          <w:szCs w:val="21"/>
        </w:rPr>
        <w:t>店汽车展厅部分按照展览建筑要求设置室内消火栓系</w:t>
      </w:r>
      <w:r>
        <w:rPr>
          <w:rFonts w:ascii="宋体" w:hAnsi="宋体" w:eastAsia="宋体" w:cs="宋体"/>
          <w:spacing w:val="3"/>
          <w:sz w:val="21"/>
          <w:szCs w:val="21"/>
        </w:rPr>
        <w:t>统。第3款中剧场、礼堂和体育馆内的活动座位数应计入总的座位数中。第4款中的其他单、多层民用建筑是指未在本条规范内</w:t>
      </w:r>
      <w:r>
        <w:rPr>
          <w:rFonts w:ascii="宋体" w:hAnsi="宋体" w:eastAsia="宋体" w:cs="宋体"/>
          <w:spacing w:val="-3"/>
          <w:sz w:val="21"/>
          <w:szCs w:val="21"/>
        </w:rPr>
        <w:t>明确说明及涵盖的建筑。</w:t>
      </w:r>
    </w:p>
    <w:p>
      <w:pPr>
        <w:spacing w:before="89" w:line="262" w:lineRule="auto"/>
        <w:ind w:right="85"/>
        <w:rPr>
          <w:rFonts w:ascii="Times New Roman" w:hAnsi="Times New Roman" w:eastAsia="Times New Roman" w:cs="Times New Roman"/>
          <w:sz w:val="21"/>
          <w:szCs w:val="21"/>
        </w:rPr>
      </w:pPr>
      <w:r>
        <w:rPr>
          <w:rFonts w:ascii="宋体" w:hAnsi="宋体" w:eastAsia="宋体" w:cs="宋体"/>
          <w:spacing w:val="-4"/>
          <w:sz w:val="21"/>
          <w:szCs w:val="21"/>
        </w:rPr>
        <w:t>3.1.3上海市文物建筑和优秀历史建筑较多，根据现行《上海市</w:t>
      </w:r>
      <w:r>
        <w:rPr>
          <w:rFonts w:ascii="宋体" w:hAnsi="宋体" w:eastAsia="宋体" w:cs="宋体"/>
          <w:spacing w:val="-1"/>
          <w:sz w:val="21"/>
          <w:szCs w:val="21"/>
        </w:rPr>
        <w:t>历史文化风貌区和优秀历史建筑保护条例》要求，部分重点保护</w:t>
      </w:r>
      <w:r>
        <w:rPr>
          <w:rFonts w:ascii="宋体" w:hAnsi="宋体" w:eastAsia="宋体" w:cs="宋体"/>
          <w:spacing w:val="-8"/>
          <w:sz w:val="21"/>
          <w:szCs w:val="21"/>
        </w:rPr>
        <w:t>部位不允许在其墙体上开洞和设置支架。因此，消防系统的设置情况，应结合历史保护建筑方案及项目情况综合确定，具体见现行上</w:t>
      </w:r>
      <w:r>
        <w:rPr>
          <w:rFonts w:ascii="宋体" w:hAnsi="宋体" w:eastAsia="宋体" w:cs="宋体"/>
          <w:spacing w:val="-1"/>
          <w:sz w:val="21"/>
          <w:szCs w:val="21"/>
        </w:rPr>
        <w:t>海市工程建设规范《文物和优秀历史建筑消防技术标准》</w:t>
      </w:r>
      <w:r>
        <w:rPr>
          <w:rFonts w:ascii="Times New Roman" w:hAnsi="Times New Roman" w:eastAsia="Times New Roman" w:cs="Times New Roman"/>
          <w:spacing w:val="-1"/>
          <w:sz w:val="21"/>
          <w:szCs w:val="21"/>
        </w:rPr>
        <w:t>DG/TJ</w:t>
      </w:r>
    </w:p>
    <w:p>
      <w:pPr>
        <w:spacing w:before="116" w:line="180" w:lineRule="auto"/>
        <w:rPr>
          <w:rFonts w:ascii="宋体" w:hAnsi="宋体" w:eastAsia="宋体" w:cs="宋体"/>
          <w:sz w:val="21"/>
          <w:szCs w:val="21"/>
        </w:rPr>
      </w:pPr>
      <w:r>
        <w:rPr>
          <w:rFonts w:ascii="Times New Roman" w:hAnsi="Times New Roman" w:eastAsia="Times New Roman" w:cs="Times New Roman"/>
          <w:spacing w:val="-1"/>
          <w:sz w:val="21"/>
          <w:szCs w:val="21"/>
        </w:rPr>
        <w:t>08—2410</w:t>
      </w:r>
      <w:r>
        <w:rPr>
          <w:rFonts w:ascii="宋体" w:hAnsi="宋体" w:eastAsia="宋体" w:cs="宋体"/>
          <w:spacing w:val="-1"/>
          <w:sz w:val="21"/>
          <w:szCs w:val="21"/>
        </w:rPr>
        <w:t>。</w:t>
      </w:r>
    </w:p>
    <w:p>
      <w:pPr>
        <w:spacing w:before="91" w:line="273" w:lineRule="auto"/>
        <w:rPr>
          <w:rFonts w:ascii="宋体" w:hAnsi="宋体" w:eastAsia="宋体" w:cs="宋体"/>
          <w:sz w:val="21"/>
          <w:szCs w:val="21"/>
        </w:rPr>
      </w:pPr>
      <w:r>
        <w:rPr>
          <w:rFonts w:ascii="宋体" w:hAnsi="宋体" w:eastAsia="宋体" w:cs="宋体"/>
          <w:spacing w:val="3"/>
          <w:sz w:val="21"/>
          <w:szCs w:val="21"/>
        </w:rPr>
        <w:t>3.1.4本条根据现行上海市工程建设规范《城市综合体消</w:t>
      </w:r>
      <w:r>
        <w:rPr>
          <w:rFonts w:ascii="宋体" w:hAnsi="宋体" w:eastAsia="宋体" w:cs="宋体"/>
          <w:spacing w:val="2"/>
          <w:sz w:val="21"/>
          <w:szCs w:val="21"/>
        </w:rPr>
        <w:t>防技</w:t>
      </w:r>
      <w:r>
        <w:rPr>
          <w:rFonts w:ascii="宋体" w:hAnsi="宋体" w:eastAsia="宋体" w:cs="宋体"/>
          <w:spacing w:val="-4"/>
          <w:sz w:val="21"/>
          <w:szCs w:val="21"/>
        </w:rPr>
        <w:t>术标准》</w:t>
      </w:r>
      <w:r>
        <w:rPr>
          <w:rFonts w:ascii="Times New Roman" w:hAnsi="Times New Roman" w:eastAsia="Times New Roman" w:cs="Times New Roman"/>
          <w:spacing w:val="-4"/>
          <w:sz w:val="21"/>
          <w:szCs w:val="21"/>
        </w:rPr>
        <w:t>DG/TJ08—2408</w:t>
      </w:r>
      <w:r>
        <w:rPr>
          <w:rFonts w:ascii="宋体" w:hAnsi="宋体" w:eastAsia="宋体" w:cs="宋体"/>
          <w:spacing w:val="-4"/>
          <w:sz w:val="21"/>
          <w:szCs w:val="21"/>
        </w:rPr>
        <w:t>、《文物和优秀历史建筑消防技术标准》</w:t>
      </w:r>
      <w:r>
        <w:rPr>
          <w:rFonts w:ascii="Times New Roman" w:hAnsi="Times New Roman" w:eastAsia="Times New Roman" w:cs="Times New Roman"/>
          <w:sz w:val="21"/>
          <w:szCs w:val="21"/>
        </w:rPr>
        <w:t>DG</w:t>
      </w:r>
      <w:r>
        <w:rPr>
          <w:rFonts w:ascii="Times New Roman" w:hAnsi="Times New Roman" w:eastAsia="Times New Roman" w:cs="Times New Roman"/>
          <w:spacing w:val="3"/>
          <w:sz w:val="21"/>
          <w:szCs w:val="21"/>
        </w:rPr>
        <w:t>/</w:t>
      </w:r>
      <w:r>
        <w:rPr>
          <w:rFonts w:ascii="Times New Roman" w:hAnsi="Times New Roman" w:eastAsia="Times New Roman" w:cs="Times New Roman"/>
          <w:sz w:val="21"/>
          <w:szCs w:val="21"/>
        </w:rPr>
        <w:t>TJ</w:t>
      </w:r>
      <w:r>
        <w:rPr>
          <w:rFonts w:ascii="Times New Roman" w:hAnsi="Times New Roman" w:eastAsia="Times New Roman" w:cs="Times New Roman"/>
          <w:spacing w:val="3"/>
          <w:sz w:val="21"/>
          <w:szCs w:val="21"/>
        </w:rPr>
        <w:t>08—2410</w:t>
      </w:r>
      <w:r>
        <w:rPr>
          <w:rFonts w:ascii="宋体" w:hAnsi="宋体" w:eastAsia="宋体" w:cs="宋体"/>
          <w:spacing w:val="3"/>
          <w:sz w:val="21"/>
          <w:szCs w:val="21"/>
        </w:rPr>
        <w:t>、《展览建筑及布展设计防火规程》</w:t>
      </w:r>
      <w:r>
        <w:rPr>
          <w:rFonts w:ascii="Times New Roman" w:hAnsi="Times New Roman" w:eastAsia="Times New Roman" w:cs="Times New Roman"/>
          <w:sz w:val="21"/>
          <w:szCs w:val="21"/>
        </w:rPr>
        <w:t>DGJ</w:t>
      </w:r>
      <w:r>
        <w:rPr>
          <w:rFonts w:ascii="Times New Roman" w:hAnsi="Times New Roman" w:eastAsia="Times New Roman" w:cs="Times New Roman"/>
          <w:spacing w:val="3"/>
          <w:sz w:val="21"/>
          <w:szCs w:val="21"/>
        </w:rPr>
        <w:t>08—</w:t>
      </w:r>
      <w:r>
        <w:rPr>
          <w:rFonts w:ascii="宋体" w:hAnsi="宋体" w:eastAsia="宋体" w:cs="宋体"/>
          <w:spacing w:val="3"/>
          <w:sz w:val="21"/>
          <w:szCs w:val="21"/>
        </w:rPr>
        <w:t>2173的相关规定，补充了设置场所。第5款中儿</w:t>
      </w:r>
      <w:r>
        <w:rPr>
          <w:rFonts w:ascii="宋体" w:hAnsi="宋体" w:eastAsia="宋体" w:cs="宋体"/>
          <w:spacing w:val="2"/>
          <w:sz w:val="21"/>
          <w:szCs w:val="21"/>
        </w:rPr>
        <w:t>童活动场所、老</w:t>
      </w:r>
      <w:r>
        <w:rPr>
          <w:rFonts w:ascii="宋体" w:hAnsi="宋体" w:eastAsia="宋体" w:cs="宋体"/>
          <w:spacing w:val="-1"/>
          <w:sz w:val="21"/>
          <w:szCs w:val="21"/>
        </w:rPr>
        <w:t>年人照料设施、残疾人康复训练设施属于提供弱势群体照料功能</w:t>
      </w:r>
    </w:p>
    <w:p>
      <w:pPr>
        <w:spacing w:line="273" w:lineRule="auto"/>
        <w:rPr>
          <w:rFonts w:ascii="宋体" w:hAnsi="宋体" w:eastAsia="宋体" w:cs="宋体"/>
          <w:sz w:val="21"/>
          <w:szCs w:val="21"/>
        </w:rPr>
        <w:sectPr>
          <w:footerReference r:id="rId81" w:type="default"/>
          <w:pgSz w:w="8280" w:h="11850"/>
          <w:pgMar w:top="400" w:right="1135" w:bottom="1290" w:left="1190" w:header="0" w:footer="1017" w:gutter="0"/>
          <w:cols w:space="720" w:num="1"/>
        </w:sectPr>
      </w:pPr>
    </w:p>
    <w:p>
      <w:pPr>
        <w:pStyle w:val="2"/>
        <w:spacing w:line="281" w:lineRule="auto"/>
      </w:pPr>
    </w:p>
    <w:p>
      <w:pPr>
        <w:pStyle w:val="2"/>
        <w:spacing w:line="281" w:lineRule="auto"/>
      </w:pPr>
    </w:p>
    <w:p>
      <w:pPr>
        <w:pStyle w:val="2"/>
        <w:spacing w:line="282" w:lineRule="auto"/>
      </w:pPr>
    </w:p>
    <w:p>
      <w:pPr>
        <w:spacing w:before="68" w:line="306" w:lineRule="auto"/>
        <w:ind w:left="105" w:right="93"/>
        <w:rPr>
          <w:rFonts w:ascii="宋体" w:hAnsi="宋体" w:eastAsia="宋体" w:cs="宋体"/>
          <w:sz w:val="17"/>
          <w:szCs w:val="17"/>
        </w:rPr>
      </w:pPr>
      <w:bookmarkStart w:id="63" w:name="bookmark124"/>
      <w:bookmarkEnd w:id="63"/>
      <w:bookmarkStart w:id="64" w:name="bookmark103"/>
      <w:bookmarkEnd w:id="64"/>
      <w:r>
        <w:rPr>
          <w:rFonts w:ascii="宋体" w:hAnsi="宋体" w:eastAsia="宋体" w:cs="宋体"/>
          <w:spacing w:val="14"/>
          <w:sz w:val="21"/>
          <w:szCs w:val="21"/>
        </w:rPr>
        <w:t>的建筑，设置消防软管卷盘和轻便水龙可有效提高灭火的及</w:t>
      </w:r>
      <w:r>
        <w:rPr>
          <w:rFonts w:ascii="宋体" w:hAnsi="宋体" w:eastAsia="宋体" w:cs="宋体"/>
          <w:spacing w:val="-8"/>
          <w:sz w:val="17"/>
          <w:szCs w:val="17"/>
        </w:rPr>
        <w:t>时性。</w:t>
      </w:r>
    </w:p>
    <w:p>
      <w:pPr>
        <w:spacing w:before="2" w:line="275" w:lineRule="auto"/>
        <w:ind w:left="104" w:right="69"/>
        <w:jc w:val="both"/>
        <w:rPr>
          <w:rFonts w:ascii="宋体" w:hAnsi="宋体" w:eastAsia="宋体" w:cs="宋体"/>
          <w:sz w:val="21"/>
          <w:szCs w:val="21"/>
        </w:rPr>
      </w:pPr>
      <w:r>
        <w:rPr>
          <w:rFonts w:ascii="宋体" w:hAnsi="宋体" w:eastAsia="宋体" w:cs="宋体"/>
          <w:spacing w:val="2"/>
          <w:sz w:val="21"/>
          <w:szCs w:val="21"/>
        </w:rPr>
        <w:t>3.1.6压缩空气泡沫消火栓系统是一种通过机械方式将压缩空</w:t>
      </w:r>
      <w:r>
        <w:rPr>
          <w:rFonts w:ascii="宋体" w:hAnsi="宋体" w:eastAsia="宋体" w:cs="宋体"/>
          <w:spacing w:val="-2"/>
          <w:sz w:val="21"/>
          <w:szCs w:val="21"/>
        </w:rPr>
        <w:t>气与泡沫液混合，由消防车通过专用水泵接合器或由固定式压缩</w:t>
      </w:r>
      <w:r>
        <w:rPr>
          <w:rFonts w:ascii="宋体" w:hAnsi="宋体" w:eastAsia="宋体" w:cs="宋体"/>
          <w:spacing w:val="-1"/>
          <w:sz w:val="21"/>
          <w:szCs w:val="21"/>
        </w:rPr>
        <w:t>空气泡沫灭火装置向专用消防供水立管供水的灭火系统，通常与</w:t>
      </w:r>
      <w:r>
        <w:rPr>
          <w:rFonts w:ascii="宋体" w:hAnsi="宋体" w:eastAsia="宋体" w:cs="宋体"/>
          <w:spacing w:val="23"/>
          <w:sz w:val="21"/>
          <w:szCs w:val="21"/>
        </w:rPr>
        <w:t>室内消火栓系统分开设置。城市消防车的供水压力一般为</w:t>
      </w:r>
      <w:r>
        <w:rPr>
          <w:rFonts w:ascii="Times New Roman" w:hAnsi="Times New Roman" w:eastAsia="Times New Roman" w:cs="Times New Roman"/>
          <w:sz w:val="21"/>
          <w:szCs w:val="21"/>
        </w:rPr>
        <w:t>1.0MPa</w:t>
      </w:r>
      <w:r>
        <w:rPr>
          <w:rFonts w:ascii="宋体" w:hAnsi="宋体" w:eastAsia="宋体" w:cs="宋体"/>
          <w:sz w:val="21"/>
          <w:szCs w:val="21"/>
        </w:rPr>
        <w:t>～</w:t>
      </w:r>
      <w:r>
        <w:rPr>
          <w:rFonts w:ascii="Times New Roman" w:hAnsi="Times New Roman" w:eastAsia="Times New Roman" w:cs="Times New Roman"/>
          <w:sz w:val="21"/>
          <w:szCs w:val="21"/>
        </w:rPr>
        <w:t>1.8ViPa,</w:t>
      </w:r>
      <w:r>
        <w:rPr>
          <w:rFonts w:ascii="宋体" w:hAnsi="宋体" w:eastAsia="宋体" w:cs="宋体"/>
          <w:sz w:val="21"/>
          <w:szCs w:val="21"/>
        </w:rPr>
        <w:t>建筑高度小于或等于150</w:t>
      </w:r>
      <w:r>
        <w:rPr>
          <w:rFonts w:ascii="Times New Roman" w:hAnsi="Times New Roman" w:eastAsia="Times New Roman" w:cs="Times New Roman"/>
          <w:sz w:val="21"/>
          <w:szCs w:val="21"/>
        </w:rPr>
        <w:t>m</w:t>
      </w:r>
      <w:r>
        <w:rPr>
          <w:rFonts w:ascii="宋体" w:hAnsi="宋体" w:eastAsia="宋体" w:cs="宋体"/>
          <w:sz w:val="21"/>
          <w:szCs w:val="21"/>
        </w:rPr>
        <w:t>的公共建筑，可</w:t>
      </w:r>
      <w:r>
        <w:rPr>
          <w:rFonts w:ascii="宋体" w:hAnsi="宋体" w:eastAsia="宋体" w:cs="宋体"/>
          <w:spacing w:val="8"/>
          <w:sz w:val="21"/>
          <w:szCs w:val="21"/>
        </w:rPr>
        <w:t>以通过常规消防装备从外部救援。建筑高度大于150</w:t>
      </w:r>
      <w:r>
        <w:rPr>
          <w:rFonts w:ascii="Times New Roman" w:hAnsi="Times New Roman" w:eastAsia="Times New Roman" w:cs="Times New Roman"/>
          <w:spacing w:val="8"/>
          <w:sz w:val="21"/>
          <w:szCs w:val="21"/>
        </w:rPr>
        <w:t>m</w:t>
      </w:r>
      <w:r>
        <w:rPr>
          <w:rFonts w:ascii="宋体" w:hAnsi="宋体" w:eastAsia="宋体" w:cs="宋体"/>
          <w:spacing w:val="8"/>
          <w:sz w:val="21"/>
          <w:szCs w:val="21"/>
        </w:rPr>
        <w:t>的公共</w:t>
      </w:r>
      <w:r>
        <w:rPr>
          <w:rFonts w:ascii="宋体" w:hAnsi="宋体" w:eastAsia="宋体" w:cs="宋体"/>
          <w:spacing w:val="-8"/>
          <w:sz w:val="21"/>
          <w:szCs w:val="21"/>
        </w:rPr>
        <w:t>建筑，缺乏外部供水灭火的有效手段，且敷</w:t>
      </w:r>
      <w:r>
        <w:rPr>
          <w:rFonts w:ascii="宋体" w:hAnsi="宋体" w:eastAsia="宋体" w:cs="宋体"/>
          <w:spacing w:val="-9"/>
          <w:sz w:val="21"/>
          <w:szCs w:val="21"/>
        </w:rPr>
        <w:t>设水带时间长、消耗消</w:t>
      </w:r>
      <w:r>
        <w:rPr>
          <w:rFonts w:ascii="宋体" w:hAnsi="宋体" w:eastAsia="宋体" w:cs="宋体"/>
          <w:spacing w:val="-2"/>
          <w:sz w:val="21"/>
          <w:szCs w:val="21"/>
        </w:rPr>
        <w:t>防队员体力大、存在安全隐患大等因素，因此超高层建筑发生火灾时，可考虑供给压缩空气泡沫。由于压缩空气泡沫中主要为压缩空气，密度较水更轻。压缩空气泡沫的供给高度大大高于供水</w:t>
      </w:r>
      <w:r>
        <w:rPr>
          <w:rFonts w:ascii="宋体" w:hAnsi="宋体" w:eastAsia="宋体" w:cs="宋体"/>
          <w:spacing w:val="-1"/>
          <w:sz w:val="21"/>
          <w:szCs w:val="21"/>
        </w:rPr>
        <w:t>的供给高度，是更适合用于超高层建筑输送的灭火剂。目前的消防车辆也具备了向超高层供给压缩空气泡沫的能力。</w:t>
      </w:r>
    </w:p>
    <w:p>
      <w:pPr>
        <w:pStyle w:val="2"/>
        <w:spacing w:line="300" w:lineRule="auto"/>
      </w:pPr>
    </w:p>
    <w:p>
      <w:pPr>
        <w:spacing w:before="68" w:line="221" w:lineRule="auto"/>
        <w:ind w:left="1958"/>
        <w:rPr>
          <w:rFonts w:ascii="黑体" w:hAnsi="黑体" w:eastAsia="黑体" w:cs="黑体"/>
          <w:sz w:val="21"/>
          <w:szCs w:val="21"/>
        </w:rPr>
      </w:pPr>
      <w:r>
        <w:rPr>
          <w:rFonts w:ascii="宋体" w:hAnsi="宋体" w:eastAsia="宋体" w:cs="宋体"/>
          <w:b/>
          <w:bCs/>
          <w:spacing w:val="-3"/>
          <w:sz w:val="21"/>
          <w:szCs w:val="21"/>
        </w:rPr>
        <w:t>3.2</w:t>
      </w:r>
      <w:r>
        <w:rPr>
          <w:rFonts w:ascii="黑体" w:hAnsi="黑体" w:eastAsia="黑体" w:cs="黑体"/>
          <w:b/>
          <w:bCs/>
          <w:spacing w:val="-3"/>
          <w:sz w:val="21"/>
          <w:szCs w:val="21"/>
        </w:rPr>
        <w:t>自动喷水灭火系统</w:t>
      </w:r>
    </w:p>
    <w:p>
      <w:pPr>
        <w:pStyle w:val="2"/>
        <w:spacing w:line="300" w:lineRule="auto"/>
      </w:pPr>
    </w:p>
    <w:p>
      <w:pPr>
        <w:spacing w:before="69" w:line="279" w:lineRule="auto"/>
        <w:ind w:left="105" w:right="58" w:firstLine="460"/>
        <w:rPr>
          <w:rFonts w:ascii="宋体" w:hAnsi="宋体" w:eastAsia="宋体" w:cs="宋体"/>
          <w:sz w:val="21"/>
          <w:szCs w:val="21"/>
        </w:rPr>
      </w:pPr>
      <w:r>
        <w:rPr>
          <w:rFonts w:ascii="宋体" w:hAnsi="宋体" w:eastAsia="宋体" w:cs="宋体"/>
          <w:spacing w:val="6"/>
          <w:sz w:val="21"/>
          <w:szCs w:val="21"/>
        </w:rPr>
        <w:t>本节规定了自动喷水灭火系统的设置范围。为方便标准的</w:t>
      </w:r>
      <w:r>
        <w:rPr>
          <w:rFonts w:ascii="宋体" w:hAnsi="宋体" w:eastAsia="宋体" w:cs="宋体"/>
          <w:spacing w:val="-1"/>
          <w:sz w:val="21"/>
          <w:szCs w:val="21"/>
        </w:rPr>
        <w:t>使用者对照建筑功能，直接选取对应的系统形式，</w:t>
      </w:r>
      <w:r>
        <w:rPr>
          <w:rFonts w:ascii="宋体" w:hAnsi="宋体" w:eastAsia="宋体" w:cs="宋体"/>
          <w:spacing w:val="-2"/>
          <w:sz w:val="21"/>
          <w:szCs w:val="21"/>
        </w:rPr>
        <w:t>本标准中按照主要建筑功能分类展开编写，涵盖了常见的建筑功能类型。对于</w:t>
      </w:r>
      <w:r>
        <w:rPr>
          <w:rFonts w:ascii="宋体" w:hAnsi="宋体" w:eastAsia="宋体" w:cs="宋体"/>
          <w:spacing w:val="6"/>
          <w:sz w:val="21"/>
          <w:szCs w:val="21"/>
        </w:rPr>
        <w:t>建设项目中出现新业态或者本标准中建筑功能名称未能覆盖的</w:t>
      </w:r>
      <w:r>
        <w:rPr>
          <w:rFonts w:ascii="宋体" w:hAnsi="宋体" w:eastAsia="宋体" w:cs="宋体"/>
          <w:spacing w:val="-15"/>
          <w:sz w:val="21"/>
          <w:szCs w:val="21"/>
        </w:rPr>
        <w:t>情况，应按照现行国家标准《建筑防火通用规范》</w:t>
      </w:r>
      <w:r>
        <w:rPr>
          <w:rFonts w:ascii="Times New Roman" w:hAnsi="Times New Roman" w:eastAsia="Times New Roman" w:cs="Times New Roman"/>
          <w:spacing w:val="-15"/>
          <w:sz w:val="21"/>
          <w:szCs w:val="21"/>
        </w:rPr>
        <w:t>GB55037</w:t>
      </w:r>
      <w:r>
        <w:rPr>
          <w:rFonts w:ascii="宋体" w:hAnsi="宋体" w:eastAsia="宋体" w:cs="宋体"/>
          <w:spacing w:val="-15"/>
          <w:sz w:val="21"/>
          <w:szCs w:val="21"/>
        </w:rPr>
        <w:t>、《建筑</w:t>
      </w:r>
      <w:r>
        <w:rPr>
          <w:rFonts w:ascii="宋体" w:hAnsi="宋体" w:eastAsia="宋体" w:cs="宋体"/>
          <w:spacing w:val="-5"/>
          <w:sz w:val="21"/>
          <w:szCs w:val="21"/>
        </w:rPr>
        <w:t>设计防火规范》GB50016的规定，分析火灾类型和危险性、扑救</w:t>
      </w:r>
      <w:r>
        <w:rPr>
          <w:rFonts w:ascii="宋体" w:hAnsi="宋体" w:eastAsia="宋体" w:cs="宋体"/>
          <w:spacing w:val="-9"/>
          <w:sz w:val="21"/>
          <w:szCs w:val="21"/>
        </w:rPr>
        <w:t>难易程度等因素，综合判定，选择适合的系统形式和设置范围。</w:t>
      </w:r>
    </w:p>
    <w:p>
      <w:pPr>
        <w:spacing w:before="4" w:line="279" w:lineRule="auto"/>
        <w:ind w:firstLine="105"/>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3.2.1</w:t>
      </w:r>
      <w:r>
        <w:rPr>
          <w:rFonts w:ascii="宋体" w:hAnsi="宋体" w:eastAsia="宋体" w:cs="宋体"/>
          <w:spacing w:val="-7"/>
          <w:sz w:val="21"/>
          <w:szCs w:val="21"/>
        </w:rPr>
        <w:t>本条第3款，公共部位是指公共走道、前室、消防前室、电</w:t>
      </w:r>
      <w:r>
        <w:rPr>
          <w:rFonts w:ascii="宋体" w:hAnsi="宋体" w:eastAsia="宋体" w:cs="宋体"/>
          <w:spacing w:val="10"/>
          <w:sz w:val="21"/>
          <w:szCs w:val="21"/>
        </w:rPr>
        <w:t>梯厅、连通电梯的封闭外走廊等公共活动和公共安全疏散的地</w:t>
      </w:r>
      <w:r>
        <w:rPr>
          <w:rFonts w:ascii="宋体" w:hAnsi="宋体" w:eastAsia="宋体" w:cs="宋体"/>
          <w:spacing w:val="2"/>
          <w:sz w:val="21"/>
          <w:szCs w:val="21"/>
        </w:rPr>
        <w:t>方。保障性租赁住房按照现行上海市工程建设规范《保障性租赁</w:t>
      </w:r>
      <w:r>
        <w:rPr>
          <w:rFonts w:ascii="宋体" w:hAnsi="宋体" w:eastAsia="宋体" w:cs="宋体"/>
          <w:spacing w:val="5"/>
          <w:sz w:val="21"/>
          <w:szCs w:val="21"/>
        </w:rPr>
        <w:t>住房设计标准(保障性租赁住房新建分册)》</w:t>
      </w:r>
      <w:r>
        <w:rPr>
          <w:rFonts w:ascii="宋体" w:hAnsi="宋体" w:eastAsia="宋体" w:cs="宋体"/>
          <w:sz w:val="21"/>
          <w:szCs w:val="21"/>
        </w:rPr>
        <w:t>DG</w:t>
      </w:r>
      <w:r>
        <w:rPr>
          <w:rFonts w:ascii="宋体" w:hAnsi="宋体" w:eastAsia="宋体" w:cs="宋体"/>
          <w:spacing w:val="5"/>
          <w:sz w:val="21"/>
          <w:szCs w:val="21"/>
        </w:rPr>
        <w:t>/</w:t>
      </w:r>
      <w:r>
        <w:rPr>
          <w:rFonts w:ascii="宋体" w:hAnsi="宋体" w:eastAsia="宋体" w:cs="宋体"/>
          <w:sz w:val="21"/>
          <w:szCs w:val="21"/>
        </w:rPr>
        <w:t>TJ</w:t>
      </w:r>
      <w:r>
        <w:rPr>
          <w:rFonts w:ascii="宋体" w:hAnsi="宋体" w:eastAsia="宋体" w:cs="宋体"/>
          <w:spacing w:val="5"/>
          <w:sz w:val="21"/>
          <w:szCs w:val="21"/>
        </w:rPr>
        <w:t>08—2291B、</w:t>
      </w:r>
      <w:r>
        <w:rPr>
          <w:rFonts w:ascii="宋体" w:hAnsi="宋体" w:eastAsia="宋体" w:cs="宋体"/>
          <w:spacing w:val="2"/>
          <w:sz w:val="21"/>
          <w:szCs w:val="21"/>
        </w:rPr>
        <w:t>《保障性租赁住房设计标准(保障性租赁住房改建分册)》</w:t>
      </w:r>
      <w:r>
        <w:rPr>
          <w:rFonts w:ascii="Times New Roman" w:hAnsi="Times New Roman" w:eastAsia="Times New Roman" w:cs="Times New Roman"/>
          <w:sz w:val="21"/>
          <w:szCs w:val="21"/>
        </w:rPr>
        <w:t>DG</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TJ</w:t>
      </w:r>
    </w:p>
    <w:p>
      <w:pPr>
        <w:spacing w:line="279" w:lineRule="auto"/>
        <w:rPr>
          <w:rFonts w:ascii="Times New Roman" w:hAnsi="Times New Roman" w:eastAsia="Times New Roman" w:cs="Times New Roman"/>
          <w:sz w:val="21"/>
          <w:szCs w:val="21"/>
        </w:rPr>
        <w:sectPr>
          <w:footerReference r:id="rId82" w:type="default"/>
          <w:pgSz w:w="8280" w:h="11850"/>
          <w:pgMar w:top="400" w:right="1154" w:bottom="1330" w:left="1085" w:header="0" w:footer="1057" w:gutter="0"/>
          <w:cols w:space="720" w:num="1"/>
        </w:sectPr>
      </w:pPr>
    </w:p>
    <w:p>
      <w:pPr>
        <w:pStyle w:val="2"/>
        <w:spacing w:line="288" w:lineRule="auto"/>
      </w:pPr>
    </w:p>
    <w:p>
      <w:pPr>
        <w:pStyle w:val="2"/>
        <w:spacing w:line="288" w:lineRule="auto"/>
      </w:pPr>
    </w:p>
    <w:p>
      <w:pPr>
        <w:pStyle w:val="2"/>
        <w:spacing w:line="289" w:lineRule="auto"/>
      </w:pPr>
    </w:p>
    <w:p>
      <w:pPr>
        <w:spacing w:before="68" w:line="219" w:lineRule="auto"/>
        <w:rPr>
          <w:rFonts w:ascii="宋体" w:hAnsi="宋体" w:eastAsia="宋体" w:cs="宋体"/>
          <w:sz w:val="21"/>
          <w:szCs w:val="21"/>
        </w:rPr>
      </w:pPr>
      <w:bookmarkStart w:id="65" w:name="bookmark125"/>
      <w:bookmarkEnd w:id="65"/>
      <w:bookmarkStart w:id="66" w:name="bookmark104"/>
      <w:bookmarkEnd w:id="66"/>
      <w:r>
        <w:rPr>
          <w:rFonts w:ascii="Times New Roman" w:hAnsi="Times New Roman" w:eastAsia="Times New Roman" w:cs="Times New Roman"/>
          <w:spacing w:val="-2"/>
          <w:sz w:val="21"/>
          <w:szCs w:val="21"/>
        </w:rPr>
        <w:t>08—2291C</w:t>
      </w:r>
      <w:r>
        <w:rPr>
          <w:rFonts w:ascii="宋体" w:hAnsi="宋体" w:eastAsia="宋体" w:cs="宋体"/>
          <w:spacing w:val="-2"/>
          <w:sz w:val="21"/>
          <w:szCs w:val="21"/>
        </w:rPr>
        <w:t>的要求执行。</w:t>
      </w:r>
    </w:p>
    <w:p>
      <w:pPr>
        <w:spacing w:before="69" w:line="266" w:lineRule="auto"/>
        <w:ind w:right="83"/>
        <w:rPr>
          <w:rFonts w:ascii="宋体" w:hAnsi="宋体" w:eastAsia="宋体" w:cs="宋体"/>
          <w:sz w:val="21"/>
          <w:szCs w:val="21"/>
        </w:rPr>
      </w:pPr>
      <w:r>
        <w:rPr>
          <w:rFonts w:ascii="宋体" w:hAnsi="宋体" w:eastAsia="宋体" w:cs="宋体"/>
          <w:spacing w:val="3"/>
          <w:sz w:val="21"/>
          <w:szCs w:val="21"/>
        </w:rPr>
        <w:t>3.2.2本条规定了老旧住宅消防改造时应遵循的原则，老旧住</w:t>
      </w:r>
      <w:r>
        <w:rPr>
          <w:rFonts w:ascii="宋体" w:hAnsi="宋体" w:eastAsia="宋体" w:cs="宋体"/>
          <w:spacing w:val="6"/>
          <w:sz w:val="21"/>
          <w:szCs w:val="21"/>
        </w:rPr>
        <w:t>宅是指2000年以前的住宅，老式砖木结构居民住宅是其中的一</w:t>
      </w:r>
      <w:r>
        <w:rPr>
          <w:rFonts w:ascii="宋体" w:hAnsi="宋体" w:eastAsia="宋体" w:cs="宋体"/>
          <w:spacing w:val="-1"/>
          <w:sz w:val="21"/>
          <w:szCs w:val="21"/>
        </w:rPr>
        <w:t>种，本条参照了现行上海市工程建设规范《老旧住宅小区消防改</w:t>
      </w:r>
      <w:r>
        <w:rPr>
          <w:rFonts w:ascii="宋体" w:hAnsi="宋体" w:eastAsia="宋体" w:cs="宋体"/>
          <w:spacing w:val="-4"/>
          <w:sz w:val="21"/>
          <w:szCs w:val="21"/>
        </w:rPr>
        <w:t>造技术标准》</w:t>
      </w:r>
      <w:r>
        <w:rPr>
          <w:rFonts w:ascii="Times New Roman" w:hAnsi="Times New Roman" w:eastAsia="Times New Roman" w:cs="Times New Roman"/>
          <w:spacing w:val="-4"/>
          <w:sz w:val="21"/>
          <w:szCs w:val="21"/>
        </w:rPr>
        <w:t>DG/TJ08—2409</w:t>
      </w:r>
      <w:r>
        <w:rPr>
          <w:rFonts w:ascii="宋体" w:hAnsi="宋体" w:eastAsia="宋体" w:cs="宋体"/>
          <w:spacing w:val="-4"/>
          <w:sz w:val="21"/>
          <w:szCs w:val="21"/>
        </w:rPr>
        <w:t>的要求。</w:t>
      </w:r>
    </w:p>
    <w:p>
      <w:pPr>
        <w:spacing w:before="62" w:line="267" w:lineRule="auto"/>
        <w:rPr>
          <w:rFonts w:ascii="宋体" w:hAnsi="宋体" w:eastAsia="宋体" w:cs="宋体"/>
          <w:sz w:val="21"/>
          <w:szCs w:val="21"/>
        </w:rPr>
      </w:pPr>
      <w:r>
        <w:rPr>
          <w:rFonts w:ascii="宋体" w:hAnsi="宋体" w:eastAsia="宋体" w:cs="宋体"/>
          <w:spacing w:val="3"/>
          <w:sz w:val="21"/>
          <w:szCs w:val="21"/>
        </w:rPr>
        <w:t>3.2.3本条规定了办公建筑、电信楼、财贸金融楼、广</w:t>
      </w:r>
      <w:r>
        <w:rPr>
          <w:rFonts w:ascii="宋体" w:hAnsi="宋体" w:eastAsia="宋体" w:cs="宋体"/>
          <w:spacing w:val="2"/>
          <w:sz w:val="21"/>
          <w:szCs w:val="21"/>
        </w:rPr>
        <w:t>播电视</w:t>
      </w:r>
      <w:r>
        <w:rPr>
          <w:rFonts w:ascii="宋体" w:hAnsi="宋体" w:eastAsia="宋体" w:cs="宋体"/>
          <w:spacing w:val="-8"/>
          <w:sz w:val="21"/>
          <w:szCs w:val="21"/>
        </w:rPr>
        <w:t>楼、电力调度楼、邮政楼、防灾指挥调度楼、图书馆、书库、科研</w:t>
      </w:r>
      <w:r>
        <w:rPr>
          <w:rFonts w:ascii="宋体" w:hAnsi="宋体" w:eastAsia="宋体" w:cs="宋体"/>
          <w:sz w:val="21"/>
          <w:szCs w:val="21"/>
        </w:rPr>
        <w:t>楼、档案楼、教学楼及类似功能建筑的自动</w:t>
      </w:r>
      <w:r>
        <w:rPr>
          <w:rFonts w:ascii="宋体" w:hAnsi="宋体" w:eastAsia="宋体" w:cs="宋体"/>
          <w:spacing w:val="-1"/>
          <w:sz w:val="21"/>
          <w:szCs w:val="21"/>
        </w:rPr>
        <w:t>喷水灭火系统设置要</w:t>
      </w:r>
      <w:r>
        <w:rPr>
          <w:rFonts w:ascii="宋体" w:hAnsi="宋体" w:eastAsia="宋体" w:cs="宋体"/>
          <w:spacing w:val="23"/>
          <w:sz w:val="21"/>
          <w:szCs w:val="21"/>
        </w:rPr>
        <w:t>求。第1款的要求高于现行国家标准《建筑防火通用规范》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2"/>
          <w:sz w:val="21"/>
          <w:szCs w:val="21"/>
        </w:rPr>
        <w:t>55037</w:t>
      </w:r>
      <w:r>
        <w:rPr>
          <w:rFonts w:ascii="宋体" w:hAnsi="宋体" w:eastAsia="宋体" w:cs="宋体"/>
          <w:spacing w:val="2"/>
          <w:sz w:val="21"/>
          <w:szCs w:val="21"/>
        </w:rPr>
        <w:t>的规定，比较一类高层建筑和二类高层建筑设置自动</w:t>
      </w:r>
      <w:r>
        <w:rPr>
          <w:rFonts w:ascii="宋体" w:hAnsi="宋体" w:eastAsia="宋体" w:cs="宋体"/>
          <w:spacing w:val="3"/>
          <w:sz w:val="21"/>
          <w:szCs w:val="21"/>
        </w:rPr>
        <w:t>喷水的区域差异在于主要的设备机房(主要包括水泵房、中水及</w:t>
      </w:r>
      <w:r>
        <w:rPr>
          <w:rFonts w:ascii="宋体" w:hAnsi="宋体" w:eastAsia="宋体" w:cs="宋体"/>
          <w:spacing w:val="-1"/>
          <w:sz w:val="21"/>
          <w:szCs w:val="21"/>
        </w:rPr>
        <w:t>雨水回用机房、空调机房、防排烟机房等),当建筑主要部位已经设置自动喷水灭火系统时，增加这些区域的自动喷水布置不会对</w:t>
      </w:r>
      <w:r>
        <w:rPr>
          <w:rFonts w:ascii="宋体" w:hAnsi="宋体" w:eastAsia="宋体" w:cs="宋体"/>
          <w:sz w:val="21"/>
          <w:szCs w:val="21"/>
        </w:rPr>
        <w:t>造价有较大影响，但却可以有效提高建筑的</w:t>
      </w:r>
      <w:r>
        <w:rPr>
          <w:rFonts w:ascii="宋体" w:hAnsi="宋体" w:eastAsia="宋体" w:cs="宋体"/>
          <w:spacing w:val="-1"/>
          <w:sz w:val="21"/>
          <w:szCs w:val="21"/>
        </w:rPr>
        <w:t>整体灭火安全防护等</w:t>
      </w:r>
      <w:r>
        <w:rPr>
          <w:rFonts w:ascii="宋体" w:hAnsi="宋体" w:eastAsia="宋体" w:cs="宋体"/>
          <w:spacing w:val="2"/>
          <w:sz w:val="21"/>
          <w:szCs w:val="21"/>
        </w:rPr>
        <w:t>级，故规定了以上功能的高层建筑需要设置自动喷水灭火系统。</w:t>
      </w:r>
    </w:p>
    <w:p>
      <w:pPr>
        <w:spacing w:before="130" w:line="279" w:lineRule="auto"/>
        <w:ind w:right="91"/>
        <w:jc w:val="both"/>
        <w:rPr>
          <w:rFonts w:ascii="宋体" w:hAnsi="宋体" w:eastAsia="宋体" w:cs="宋体"/>
          <w:sz w:val="21"/>
          <w:szCs w:val="21"/>
        </w:rPr>
      </w:pPr>
      <w:r>
        <w:rPr>
          <w:rFonts w:ascii="宋体" w:hAnsi="宋体" w:eastAsia="宋体" w:cs="宋体"/>
          <w:spacing w:val="26"/>
          <w:sz w:val="21"/>
          <w:szCs w:val="21"/>
        </w:rPr>
        <w:t>第2款的要求高于现行国家标准《建筑防火通用规范》</w:t>
      </w:r>
      <w:r>
        <w:rPr>
          <w:rFonts w:ascii="Times New Roman" w:hAnsi="Times New Roman" w:eastAsia="Times New Roman" w:cs="Times New Roman"/>
          <w:sz w:val="21"/>
          <w:szCs w:val="21"/>
        </w:rPr>
        <w:t>GB</w:t>
      </w:r>
      <w:r>
        <w:rPr>
          <w:rFonts w:ascii="宋体" w:hAnsi="宋体" w:eastAsia="宋体" w:cs="宋体"/>
          <w:spacing w:val="5"/>
          <w:sz w:val="21"/>
          <w:szCs w:val="21"/>
        </w:rPr>
        <w:t>55037中“大于3000</w:t>
      </w:r>
      <w:r>
        <w:rPr>
          <w:rFonts w:ascii="Times New Roman" w:hAnsi="Times New Roman" w:eastAsia="Times New Roman" w:cs="Times New Roman"/>
          <w:spacing w:val="5"/>
          <w:sz w:val="21"/>
          <w:szCs w:val="21"/>
        </w:rPr>
        <w:t>m²</w:t>
      </w:r>
      <w:r>
        <w:rPr>
          <w:rFonts w:ascii="宋体" w:hAnsi="宋体" w:eastAsia="宋体" w:cs="宋体"/>
          <w:spacing w:val="5"/>
          <w:sz w:val="21"/>
          <w:szCs w:val="21"/>
        </w:rPr>
        <w:t>时设置”,是延续了原标准的要求。第</w:t>
      </w:r>
      <w:r>
        <w:rPr>
          <w:rFonts w:ascii="宋体" w:hAnsi="宋体" w:eastAsia="宋体" w:cs="宋体"/>
          <w:spacing w:val="3"/>
          <w:sz w:val="21"/>
          <w:szCs w:val="21"/>
        </w:rPr>
        <w:t>3款中邮政建筑内具有邮件处理和邮袋存放功能的区域，按照厂</w:t>
      </w:r>
      <w:r>
        <w:rPr>
          <w:rFonts w:ascii="宋体" w:hAnsi="宋体" w:eastAsia="宋体" w:cs="宋体"/>
          <w:spacing w:val="-4"/>
          <w:sz w:val="21"/>
          <w:szCs w:val="21"/>
        </w:rPr>
        <w:t>房标准设置自动灭火系统。</w:t>
      </w:r>
    </w:p>
    <w:p>
      <w:pPr>
        <w:spacing w:before="3" w:line="262" w:lineRule="auto"/>
        <w:ind w:right="81"/>
        <w:rPr>
          <w:rFonts w:ascii="宋体" w:hAnsi="宋体" w:eastAsia="宋体" w:cs="宋体"/>
          <w:sz w:val="21"/>
          <w:szCs w:val="21"/>
        </w:rPr>
      </w:pPr>
      <w:r>
        <w:rPr>
          <w:rFonts w:ascii="宋体" w:hAnsi="宋体" w:eastAsia="宋体" w:cs="宋体"/>
          <w:spacing w:val="6"/>
          <w:sz w:val="21"/>
          <w:szCs w:val="21"/>
        </w:rPr>
        <w:t>3.2.4当建筑功能与本标准第3.2.3条规定一致，建筑面积大于300</w:t>
      </w:r>
      <w:r>
        <w:rPr>
          <w:rFonts w:ascii="Times New Roman" w:hAnsi="Times New Roman" w:eastAsia="Times New Roman" w:cs="Times New Roman"/>
          <w:spacing w:val="6"/>
          <w:sz w:val="21"/>
          <w:szCs w:val="21"/>
        </w:rPr>
        <w:t>m²</w:t>
      </w:r>
      <w:r>
        <w:rPr>
          <w:rFonts w:ascii="宋体" w:hAnsi="宋体" w:eastAsia="宋体" w:cs="宋体"/>
          <w:spacing w:val="6"/>
          <w:sz w:val="21"/>
          <w:szCs w:val="21"/>
        </w:rPr>
        <w:t>但小于或等于1000</w:t>
      </w:r>
      <w:r>
        <w:rPr>
          <w:rFonts w:ascii="Times New Roman" w:hAnsi="Times New Roman" w:eastAsia="Times New Roman" w:cs="Times New Roman"/>
          <w:spacing w:val="6"/>
          <w:sz w:val="21"/>
          <w:szCs w:val="21"/>
        </w:rPr>
        <w:t>m²</w:t>
      </w:r>
      <w:r>
        <w:rPr>
          <w:rFonts w:ascii="宋体" w:hAnsi="宋体" w:eastAsia="宋体" w:cs="宋体"/>
          <w:spacing w:val="6"/>
          <w:sz w:val="21"/>
          <w:szCs w:val="21"/>
        </w:rPr>
        <w:t>且设有送回风道(管)的集中空</w:t>
      </w:r>
      <w:r>
        <w:rPr>
          <w:rFonts w:ascii="宋体" w:hAnsi="宋体" w:eastAsia="宋体" w:cs="宋体"/>
          <w:spacing w:val="-1"/>
          <w:sz w:val="21"/>
          <w:szCs w:val="21"/>
        </w:rPr>
        <w:t>气调节系统时，办公及公共部位采用自动喷水局部应用系统。当</w:t>
      </w:r>
      <w:r>
        <w:rPr>
          <w:rFonts w:ascii="宋体" w:hAnsi="宋体" w:eastAsia="宋体" w:cs="宋体"/>
          <w:sz w:val="21"/>
          <w:szCs w:val="21"/>
        </w:rPr>
        <w:t>送回风道(管)完全不穿越建筑分隔墙，只在本</w:t>
      </w:r>
      <w:r>
        <w:rPr>
          <w:rFonts w:ascii="宋体" w:hAnsi="宋体" w:eastAsia="宋体" w:cs="宋体"/>
          <w:spacing w:val="-1"/>
          <w:sz w:val="21"/>
          <w:szCs w:val="21"/>
        </w:rPr>
        <w:t>单元内布置时，可</w:t>
      </w:r>
      <w:r>
        <w:rPr>
          <w:rFonts w:ascii="宋体" w:hAnsi="宋体" w:eastAsia="宋体" w:cs="宋体"/>
          <w:spacing w:val="-8"/>
          <w:sz w:val="21"/>
          <w:szCs w:val="21"/>
        </w:rPr>
        <w:t>不设置。</w:t>
      </w:r>
    </w:p>
    <w:p>
      <w:pPr>
        <w:spacing w:before="88" w:line="254" w:lineRule="auto"/>
        <w:ind w:right="97"/>
        <w:rPr>
          <w:rFonts w:ascii="宋体" w:hAnsi="宋体" w:eastAsia="宋体" w:cs="宋体"/>
          <w:sz w:val="21"/>
          <w:szCs w:val="21"/>
        </w:rPr>
      </w:pPr>
      <w:r>
        <w:rPr>
          <w:rFonts w:ascii="宋体" w:hAnsi="宋体" w:eastAsia="宋体" w:cs="宋体"/>
          <w:spacing w:val="3"/>
          <w:sz w:val="21"/>
          <w:szCs w:val="21"/>
        </w:rPr>
        <w:t>3.2.5营业性餐厅可计入商业建筑范围，配套厨房面积</w:t>
      </w:r>
      <w:r>
        <w:rPr>
          <w:rFonts w:ascii="宋体" w:hAnsi="宋体" w:eastAsia="宋体" w:cs="宋体"/>
          <w:spacing w:val="2"/>
          <w:sz w:val="21"/>
          <w:szCs w:val="21"/>
        </w:rPr>
        <w:t>应包括</w:t>
      </w:r>
      <w:r>
        <w:rPr>
          <w:rFonts w:ascii="宋体" w:hAnsi="宋体" w:eastAsia="宋体" w:cs="宋体"/>
          <w:spacing w:val="3"/>
          <w:sz w:val="21"/>
          <w:szCs w:val="21"/>
        </w:rPr>
        <w:t>在餐厅面积之内。本条文说明同样适用于本标准第3.2.6条。</w:t>
      </w:r>
    </w:p>
    <w:p>
      <w:pPr>
        <w:spacing w:before="51" w:line="219" w:lineRule="auto"/>
        <w:rPr>
          <w:rFonts w:ascii="宋体" w:hAnsi="宋体" w:eastAsia="宋体" w:cs="宋体"/>
          <w:sz w:val="21"/>
          <w:szCs w:val="21"/>
        </w:rPr>
      </w:pPr>
      <w:r>
        <w:rPr>
          <w:rFonts w:ascii="宋体" w:hAnsi="宋体" w:eastAsia="宋体" w:cs="宋体"/>
          <w:spacing w:val="-4"/>
          <w:sz w:val="21"/>
          <w:szCs w:val="21"/>
        </w:rPr>
        <w:t>3.2.6本条中所指建筑面积为总面积，不是划分单元的面积。</w:t>
      </w:r>
    </w:p>
    <w:p>
      <w:pPr>
        <w:spacing w:before="71" w:line="246" w:lineRule="auto"/>
        <w:ind w:right="83"/>
        <w:rPr>
          <w:rFonts w:ascii="宋体" w:hAnsi="宋体" w:eastAsia="宋体" w:cs="宋体"/>
          <w:sz w:val="21"/>
          <w:szCs w:val="21"/>
        </w:rPr>
      </w:pPr>
      <w:r>
        <w:rPr>
          <w:rFonts w:ascii="宋体" w:hAnsi="宋体" w:eastAsia="宋体" w:cs="宋体"/>
          <w:spacing w:val="-4"/>
          <w:sz w:val="21"/>
          <w:szCs w:val="21"/>
        </w:rPr>
        <w:t>3.2.7本条所指简易自动喷水灭火系统，不同于国家标准《自动喷水灭火系统设计规范》</w:t>
      </w:r>
      <w:r>
        <w:rPr>
          <w:rFonts w:ascii="Times New Roman" w:hAnsi="Times New Roman" w:eastAsia="Times New Roman" w:cs="Times New Roman"/>
          <w:spacing w:val="-4"/>
          <w:sz w:val="21"/>
          <w:szCs w:val="21"/>
        </w:rPr>
        <w:t>GB50084—2017</w:t>
      </w:r>
      <w:r>
        <w:rPr>
          <w:rFonts w:ascii="宋体" w:hAnsi="宋体" w:eastAsia="宋体" w:cs="宋体"/>
          <w:spacing w:val="-4"/>
          <w:sz w:val="21"/>
          <w:szCs w:val="21"/>
        </w:rPr>
        <w:t>中的局部应用系统，其</w:t>
      </w:r>
    </w:p>
    <w:p>
      <w:pPr>
        <w:spacing w:line="246" w:lineRule="auto"/>
        <w:rPr>
          <w:rFonts w:ascii="宋体" w:hAnsi="宋体" w:eastAsia="宋体" w:cs="宋体"/>
          <w:sz w:val="21"/>
          <w:szCs w:val="21"/>
        </w:rPr>
        <w:sectPr>
          <w:footerReference r:id="rId83" w:type="default"/>
          <w:pgSz w:w="8280" w:h="11850"/>
          <w:pgMar w:top="400" w:right="1134" w:bottom="1320" w:left="1190" w:header="0" w:footer="1047" w:gutter="0"/>
          <w:cols w:space="720" w:num="1"/>
        </w:sectPr>
      </w:pPr>
    </w:p>
    <w:p>
      <w:pPr>
        <w:pStyle w:val="2"/>
        <w:spacing w:line="278" w:lineRule="auto"/>
      </w:pPr>
    </w:p>
    <w:p>
      <w:pPr>
        <w:pStyle w:val="2"/>
        <w:spacing w:line="278" w:lineRule="auto"/>
      </w:pPr>
    </w:p>
    <w:p>
      <w:pPr>
        <w:pStyle w:val="2"/>
        <w:spacing w:line="278" w:lineRule="auto"/>
      </w:pPr>
    </w:p>
    <w:p>
      <w:pPr>
        <w:spacing w:before="68" w:line="275" w:lineRule="auto"/>
        <w:ind w:right="73"/>
        <w:rPr>
          <w:rFonts w:ascii="宋体" w:hAnsi="宋体" w:eastAsia="宋体" w:cs="宋体"/>
          <w:sz w:val="21"/>
          <w:szCs w:val="21"/>
        </w:rPr>
      </w:pPr>
      <w:r>
        <w:rPr>
          <w:rFonts w:ascii="宋体" w:hAnsi="宋体" w:eastAsia="宋体" w:cs="宋体"/>
          <w:spacing w:val="-1"/>
          <w:sz w:val="21"/>
          <w:szCs w:val="21"/>
        </w:rPr>
        <w:t>适用范围为尚达不到局部应用系统设置条件，根据上海消防特点</w:t>
      </w:r>
      <w:r>
        <w:rPr>
          <w:rFonts w:ascii="宋体" w:hAnsi="宋体" w:eastAsia="宋体" w:cs="宋体"/>
          <w:spacing w:val="-5"/>
          <w:sz w:val="21"/>
          <w:szCs w:val="21"/>
        </w:rPr>
        <w:t>和灭火实践，需要设置自动喷水灭火系统控火的场所。</w:t>
      </w:r>
    </w:p>
    <w:p>
      <w:pPr>
        <w:spacing w:before="14" w:line="262" w:lineRule="auto"/>
        <w:ind w:right="19"/>
        <w:rPr>
          <w:rFonts w:ascii="宋体" w:hAnsi="宋体" w:eastAsia="宋体" w:cs="宋体"/>
          <w:sz w:val="21"/>
          <w:szCs w:val="21"/>
        </w:rPr>
      </w:pPr>
      <w:r>
        <w:rPr>
          <w:rFonts w:ascii="宋体" w:hAnsi="宋体" w:eastAsia="宋体" w:cs="宋体"/>
          <w:spacing w:val="-11"/>
          <w:sz w:val="21"/>
          <w:szCs w:val="21"/>
        </w:rPr>
        <w:t>3.2.8剧本娱乐活动场所主要是指以“剧本杀”“密室逃脱”等为</w:t>
      </w:r>
      <w:r>
        <w:rPr>
          <w:rFonts w:ascii="宋体" w:hAnsi="宋体" w:eastAsia="宋体" w:cs="宋体"/>
          <w:spacing w:val="1"/>
          <w:sz w:val="21"/>
          <w:szCs w:val="21"/>
        </w:rPr>
        <w:t>代表的现场组织消费者扮演角色完成任务的剧本娱乐经营场所，</w:t>
      </w:r>
      <w:r>
        <w:rPr>
          <w:rFonts w:ascii="宋体" w:hAnsi="宋体" w:eastAsia="宋体" w:cs="宋体"/>
          <w:spacing w:val="-1"/>
          <w:sz w:val="21"/>
          <w:szCs w:val="21"/>
        </w:rPr>
        <w:t>其营业执照的经营范围登记为“剧本娱乐活动”。歌舞</w:t>
      </w:r>
      <w:r>
        <w:rPr>
          <w:rFonts w:ascii="宋体" w:hAnsi="宋体" w:eastAsia="宋体" w:cs="宋体"/>
          <w:spacing w:val="-2"/>
          <w:sz w:val="21"/>
          <w:szCs w:val="21"/>
        </w:rPr>
        <w:t>娱乐放映</w:t>
      </w:r>
      <w:r>
        <w:rPr>
          <w:rFonts w:ascii="宋体" w:hAnsi="宋体" w:eastAsia="宋体" w:cs="宋体"/>
          <w:spacing w:val="-5"/>
          <w:sz w:val="21"/>
          <w:szCs w:val="21"/>
        </w:rPr>
        <w:t>游艺场所的设置部位应包括音控室、</w:t>
      </w:r>
      <w:r>
        <w:rPr>
          <w:rFonts w:ascii="Times New Roman" w:hAnsi="Times New Roman" w:eastAsia="Times New Roman" w:cs="Times New Roman"/>
          <w:spacing w:val="-5"/>
          <w:sz w:val="21"/>
          <w:szCs w:val="21"/>
        </w:rPr>
        <w:t>KTV</w:t>
      </w:r>
      <w:r>
        <w:rPr>
          <w:rFonts w:ascii="宋体" w:hAnsi="宋体" w:eastAsia="宋体" w:cs="宋体"/>
          <w:spacing w:val="-5"/>
          <w:sz w:val="21"/>
          <w:szCs w:val="21"/>
        </w:rPr>
        <w:t>包房、茶</w:t>
      </w:r>
      <w:r>
        <w:rPr>
          <w:rFonts w:ascii="宋体" w:hAnsi="宋体" w:eastAsia="宋体" w:cs="宋体"/>
          <w:spacing w:val="-6"/>
          <w:sz w:val="21"/>
          <w:szCs w:val="21"/>
        </w:rPr>
        <w:t>水间、食品制</w:t>
      </w:r>
      <w:r>
        <w:rPr>
          <w:rFonts w:ascii="宋体" w:hAnsi="宋体" w:eastAsia="宋体" w:cs="宋体"/>
          <w:spacing w:val="-11"/>
          <w:sz w:val="21"/>
          <w:szCs w:val="21"/>
        </w:rPr>
        <w:t>作间、走道等公共部位。</w:t>
      </w:r>
    </w:p>
    <w:p>
      <w:pPr>
        <w:spacing w:before="88" w:line="260" w:lineRule="auto"/>
        <w:ind w:right="77"/>
        <w:rPr>
          <w:rFonts w:ascii="宋体" w:hAnsi="宋体" w:eastAsia="宋体" w:cs="宋体"/>
          <w:sz w:val="21"/>
          <w:szCs w:val="21"/>
        </w:rPr>
      </w:pPr>
      <w:r>
        <w:rPr>
          <w:rFonts w:ascii="Times New Roman" w:hAnsi="Times New Roman" w:eastAsia="Times New Roman" w:cs="Times New Roman"/>
          <w:spacing w:val="6"/>
          <w:sz w:val="21"/>
          <w:szCs w:val="21"/>
        </w:rPr>
        <w:t>3.2.13</w:t>
      </w:r>
      <w:r>
        <w:rPr>
          <w:rFonts w:ascii="宋体" w:hAnsi="宋体" w:eastAsia="宋体" w:cs="宋体"/>
          <w:spacing w:val="6"/>
          <w:sz w:val="21"/>
          <w:szCs w:val="21"/>
        </w:rPr>
        <w:t>根据现行国家标准《民用建筑设计术语标准》</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/T</w:t>
      </w:r>
      <w:r>
        <w:rPr>
          <w:rFonts w:ascii="宋体" w:hAnsi="宋体" w:eastAsia="宋体" w:cs="宋体"/>
          <w:spacing w:val="-1"/>
          <w:sz w:val="21"/>
          <w:szCs w:val="21"/>
        </w:rPr>
        <w:t>50504,医疗卫生建筑是指对疾病进行诊断、治疗与护理，承担公共卫生的预防与保健，从事医学教学与科学研究的建筑设施</w:t>
      </w:r>
      <w:r>
        <w:rPr>
          <w:rFonts w:ascii="宋体" w:hAnsi="宋体" w:eastAsia="宋体" w:cs="宋体"/>
          <w:spacing w:val="-2"/>
          <w:sz w:val="21"/>
          <w:szCs w:val="21"/>
        </w:rPr>
        <w:t>以及其辅助用房的总称。</w:t>
      </w:r>
    </w:p>
    <w:p>
      <w:pPr>
        <w:spacing w:before="88" w:line="262" w:lineRule="auto"/>
        <w:rPr>
          <w:rFonts w:ascii="宋体" w:hAnsi="宋体" w:eastAsia="宋体" w:cs="宋体"/>
          <w:sz w:val="21"/>
          <w:szCs w:val="21"/>
        </w:rPr>
      </w:pPr>
      <w:r>
        <w:rPr>
          <w:rFonts w:ascii="Times New Roman" w:hAnsi="Times New Roman" w:eastAsia="Times New Roman" w:cs="Times New Roman"/>
          <w:spacing w:val="-1"/>
          <w:sz w:val="21"/>
          <w:szCs w:val="21"/>
        </w:rPr>
        <w:t>3.2.17</w:t>
      </w:r>
      <w:r>
        <w:rPr>
          <w:rFonts w:ascii="宋体" w:hAnsi="宋体" w:eastAsia="宋体" w:cs="宋体"/>
          <w:spacing w:val="-1"/>
          <w:sz w:val="21"/>
          <w:szCs w:val="21"/>
        </w:rPr>
        <w:t>除了变配电房等不宜用水保护或灭火的场所，根据现行</w:t>
      </w:r>
      <w:r>
        <w:rPr>
          <w:rFonts w:ascii="宋体" w:hAnsi="宋体" w:eastAsia="宋体" w:cs="宋体"/>
          <w:spacing w:val="18"/>
          <w:sz w:val="21"/>
          <w:szCs w:val="21"/>
        </w:rPr>
        <w:t>上海市工程建设规范《文物和优秀历史建筑消防技术标准》</w:t>
      </w:r>
      <w:r>
        <w:rPr>
          <w:rFonts w:ascii="Times New Roman" w:hAnsi="Times New Roman" w:eastAsia="Times New Roman" w:cs="Times New Roman"/>
          <w:sz w:val="21"/>
          <w:szCs w:val="21"/>
        </w:rPr>
        <w:t>DG</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TJ</w:t>
      </w:r>
      <w:r>
        <w:rPr>
          <w:rFonts w:ascii="Times New Roman" w:hAnsi="Times New Roman" w:eastAsia="Times New Roman" w:cs="Times New Roman"/>
          <w:spacing w:val="2"/>
          <w:sz w:val="21"/>
          <w:szCs w:val="21"/>
        </w:rPr>
        <w:t>08—2410</w:t>
      </w:r>
      <w:r>
        <w:rPr>
          <w:rFonts w:ascii="宋体" w:hAnsi="宋体" w:eastAsia="宋体" w:cs="宋体"/>
          <w:spacing w:val="2"/>
          <w:sz w:val="21"/>
          <w:szCs w:val="21"/>
        </w:rPr>
        <w:t>的规定，近现代文物建筑和优秀历史建筑中有</w:t>
      </w:r>
      <w:r>
        <w:rPr>
          <w:rFonts w:ascii="宋体" w:hAnsi="宋体" w:eastAsia="宋体" w:cs="宋体"/>
          <w:spacing w:val="-1"/>
          <w:sz w:val="21"/>
          <w:szCs w:val="21"/>
        </w:rPr>
        <w:t>传统彩绘、壁画、泥塑等有特色价值要素的部分不应</w:t>
      </w:r>
      <w:r>
        <w:rPr>
          <w:rFonts w:ascii="宋体" w:hAnsi="宋体" w:eastAsia="宋体" w:cs="宋体"/>
          <w:spacing w:val="-2"/>
          <w:sz w:val="21"/>
          <w:szCs w:val="21"/>
        </w:rPr>
        <w:t>设置自动喷</w:t>
      </w:r>
      <w:r>
        <w:rPr>
          <w:rFonts w:ascii="宋体" w:hAnsi="宋体" w:eastAsia="宋体" w:cs="宋体"/>
          <w:spacing w:val="-3"/>
          <w:sz w:val="21"/>
          <w:szCs w:val="21"/>
        </w:rPr>
        <w:t>水灭火系统。</w:t>
      </w:r>
    </w:p>
    <w:p>
      <w:pPr>
        <w:spacing w:before="89" w:line="261" w:lineRule="auto"/>
        <w:ind w:right="75"/>
        <w:rPr>
          <w:rFonts w:ascii="宋体" w:hAnsi="宋体" w:eastAsia="宋体" w:cs="宋体"/>
          <w:sz w:val="21"/>
          <w:szCs w:val="21"/>
        </w:rPr>
      </w:pPr>
      <w:r>
        <w:rPr>
          <w:rFonts w:ascii="宋体" w:hAnsi="宋体" w:eastAsia="宋体" w:cs="宋体"/>
          <w:spacing w:val="-1"/>
          <w:sz w:val="21"/>
          <w:szCs w:val="21"/>
        </w:rPr>
        <w:t>3.2.19敞开式车库一般不用设置喷淋，当敞开式车库每个防火分区的最大允许建筑面积超过规范要求，设置自动喷水灭火系统</w:t>
      </w:r>
      <w:r>
        <w:rPr>
          <w:rFonts w:ascii="宋体" w:hAnsi="宋体" w:eastAsia="宋体" w:cs="宋体"/>
          <w:spacing w:val="-2"/>
          <w:sz w:val="21"/>
          <w:szCs w:val="21"/>
        </w:rPr>
        <w:t>时，防火分区面积可扩大1倍。</w:t>
      </w:r>
    </w:p>
    <w:p>
      <w:pPr>
        <w:spacing w:before="61" w:line="219" w:lineRule="auto"/>
        <w:rPr>
          <w:rFonts w:ascii="宋体" w:hAnsi="宋体" w:eastAsia="宋体" w:cs="宋体"/>
          <w:sz w:val="21"/>
          <w:szCs w:val="21"/>
        </w:rPr>
      </w:pPr>
      <w:r>
        <w:rPr>
          <w:rFonts w:ascii="Times New Roman" w:hAnsi="Times New Roman" w:eastAsia="Times New Roman" w:cs="Times New Roman"/>
          <w:sz w:val="21"/>
          <w:szCs w:val="21"/>
        </w:rPr>
        <w:t>3.2.20</w:t>
      </w:r>
      <w:r>
        <w:rPr>
          <w:rFonts w:ascii="宋体" w:hAnsi="宋体" w:eastAsia="宋体" w:cs="宋体"/>
          <w:sz w:val="21"/>
          <w:szCs w:val="21"/>
        </w:rPr>
        <w:t>活动座位应计入总的座位数中。</w:t>
      </w:r>
    </w:p>
    <w:p>
      <w:pPr>
        <w:spacing w:before="71" w:line="219" w:lineRule="auto"/>
        <w:rPr>
          <w:rFonts w:ascii="宋体" w:hAnsi="宋体" w:eastAsia="宋体" w:cs="宋体"/>
          <w:sz w:val="21"/>
          <w:szCs w:val="21"/>
        </w:rPr>
      </w:pPr>
      <w:r>
        <w:rPr>
          <w:rFonts w:ascii="宋体" w:hAnsi="宋体" w:eastAsia="宋体" w:cs="宋体"/>
          <w:spacing w:val="-2"/>
          <w:sz w:val="21"/>
          <w:szCs w:val="21"/>
        </w:rPr>
        <w:t>3.2.21活动座位应计入总的座位数中。</w:t>
      </w:r>
    </w:p>
    <w:p>
      <w:pPr>
        <w:spacing w:before="69" w:line="255" w:lineRule="auto"/>
        <w:ind w:right="95"/>
        <w:rPr>
          <w:rFonts w:ascii="宋体" w:hAnsi="宋体" w:eastAsia="宋体" w:cs="宋体"/>
          <w:sz w:val="21"/>
          <w:szCs w:val="21"/>
        </w:rPr>
      </w:pPr>
      <w:r>
        <w:rPr>
          <w:rFonts w:ascii="宋体" w:hAnsi="宋体" w:eastAsia="宋体" w:cs="宋体"/>
          <w:spacing w:val="-1"/>
          <w:sz w:val="21"/>
          <w:szCs w:val="21"/>
        </w:rPr>
        <w:t>3.2.25城市综合体内的自动喷水灭火系统设置，应按照现行上</w:t>
      </w:r>
      <w:r>
        <w:rPr>
          <w:rFonts w:ascii="宋体" w:hAnsi="宋体" w:eastAsia="宋体" w:cs="宋体"/>
          <w:spacing w:val="10"/>
          <w:sz w:val="21"/>
          <w:szCs w:val="21"/>
        </w:rPr>
        <w:t>海市工程建设规范《城市综合体消防技术标准》</w:t>
      </w:r>
      <w:r>
        <w:rPr>
          <w:rFonts w:ascii="Times New Roman" w:hAnsi="Times New Roman" w:eastAsia="Times New Roman" w:cs="Times New Roman"/>
          <w:sz w:val="21"/>
          <w:szCs w:val="21"/>
        </w:rPr>
        <w:t>DG</w:t>
      </w:r>
      <w:r>
        <w:rPr>
          <w:rFonts w:ascii="Times New Roman" w:hAnsi="Times New Roman" w:eastAsia="Times New Roman" w:cs="Times New Roman"/>
          <w:spacing w:val="10"/>
          <w:sz w:val="21"/>
          <w:szCs w:val="21"/>
        </w:rPr>
        <w:t>/</w:t>
      </w:r>
      <w:r>
        <w:rPr>
          <w:rFonts w:ascii="Times New Roman" w:hAnsi="Times New Roman" w:eastAsia="Times New Roman" w:cs="Times New Roman"/>
          <w:sz w:val="21"/>
          <w:szCs w:val="21"/>
        </w:rPr>
        <w:t>TJ</w:t>
      </w:r>
      <w:r>
        <w:rPr>
          <w:rFonts w:ascii="Times New Roman" w:hAnsi="Times New Roman" w:eastAsia="Times New Roman" w:cs="Times New Roman"/>
          <w:spacing w:val="10"/>
          <w:sz w:val="21"/>
          <w:szCs w:val="21"/>
        </w:rPr>
        <w:t>08—</w:t>
      </w:r>
      <w:r>
        <w:rPr>
          <w:rFonts w:ascii="宋体" w:hAnsi="宋体" w:eastAsia="宋体" w:cs="宋体"/>
          <w:spacing w:val="2"/>
          <w:sz w:val="21"/>
          <w:szCs w:val="21"/>
        </w:rPr>
        <w:t>2408的相关规定执行。</w:t>
      </w:r>
    </w:p>
    <w:p>
      <w:pPr>
        <w:spacing w:before="79" w:line="264" w:lineRule="auto"/>
        <w:ind w:right="85"/>
        <w:rPr>
          <w:rFonts w:ascii="宋体" w:hAnsi="宋体" w:eastAsia="宋体" w:cs="宋体"/>
          <w:sz w:val="21"/>
          <w:szCs w:val="21"/>
        </w:rPr>
      </w:pPr>
      <w:r>
        <w:rPr>
          <w:rFonts w:ascii="宋体" w:hAnsi="宋体" w:eastAsia="宋体" w:cs="宋体"/>
          <w:spacing w:val="3"/>
          <w:sz w:val="21"/>
          <w:szCs w:val="21"/>
        </w:rPr>
        <w:t>3.2.27第1款要求来自住房城乡</w:t>
      </w:r>
      <w:r>
        <w:rPr>
          <w:rFonts w:ascii="宋体" w:hAnsi="宋体" w:eastAsia="宋体" w:cs="宋体"/>
          <w:spacing w:val="2"/>
          <w:sz w:val="21"/>
          <w:szCs w:val="21"/>
        </w:rPr>
        <w:t>建设部、公安部和国家旅游局</w:t>
      </w:r>
      <w:r>
        <w:rPr>
          <w:rFonts w:ascii="宋体" w:hAnsi="宋体" w:eastAsia="宋体" w:cs="宋体"/>
          <w:spacing w:val="-8"/>
          <w:sz w:val="21"/>
          <w:szCs w:val="21"/>
        </w:rPr>
        <w:t>联合下发的《农家乐(民宿)建筑防火导则(试行)》的相关规定，其</w:t>
      </w:r>
      <w:r>
        <w:rPr>
          <w:rFonts w:ascii="宋体" w:hAnsi="宋体" w:eastAsia="宋体" w:cs="宋体"/>
          <w:spacing w:val="-2"/>
          <w:sz w:val="21"/>
          <w:szCs w:val="21"/>
        </w:rPr>
        <w:t>中的人数应由建筑专业提供，可按照建筑消防疏散宽度可以允许</w:t>
      </w:r>
      <w:r>
        <w:rPr>
          <w:rFonts w:ascii="宋体" w:hAnsi="宋体" w:eastAsia="宋体" w:cs="宋体"/>
          <w:spacing w:val="-4"/>
          <w:sz w:val="21"/>
          <w:szCs w:val="21"/>
        </w:rPr>
        <w:t>的人数来确认。</w:t>
      </w:r>
    </w:p>
    <w:p>
      <w:pPr>
        <w:spacing w:before="68" w:line="216" w:lineRule="auto"/>
        <w:rPr>
          <w:rFonts w:ascii="宋体" w:hAnsi="宋体" w:eastAsia="宋体" w:cs="宋体"/>
          <w:sz w:val="21"/>
          <w:szCs w:val="21"/>
        </w:rPr>
      </w:pPr>
      <w:r>
        <w:rPr>
          <w:rFonts w:ascii="Times New Roman" w:hAnsi="Times New Roman" w:eastAsia="Times New Roman" w:cs="Times New Roman"/>
          <w:b/>
          <w:bCs/>
          <w:spacing w:val="-4"/>
          <w:sz w:val="21"/>
          <w:szCs w:val="21"/>
        </w:rPr>
        <w:t>3.2.28</w:t>
      </w:r>
      <w:r>
        <w:rPr>
          <w:rFonts w:ascii="宋体" w:hAnsi="宋体" w:eastAsia="宋体" w:cs="宋体"/>
          <w:spacing w:val="-4"/>
          <w:sz w:val="21"/>
          <w:szCs w:val="21"/>
        </w:rPr>
        <w:t>本条所指“所有部位”,按照国家标准《建筑防火通用规</w:t>
      </w:r>
    </w:p>
    <w:p>
      <w:pPr>
        <w:spacing w:line="216" w:lineRule="auto"/>
        <w:rPr>
          <w:rFonts w:ascii="宋体" w:hAnsi="宋体" w:eastAsia="宋体" w:cs="宋体"/>
          <w:sz w:val="21"/>
          <w:szCs w:val="21"/>
        </w:rPr>
        <w:sectPr>
          <w:footerReference r:id="rId84" w:type="default"/>
          <w:pgSz w:w="8280" w:h="11850"/>
          <w:pgMar w:top="400" w:right="1135" w:bottom="1340" w:left="1200" w:header="0" w:footer="1067" w:gutter="0"/>
          <w:cols w:space="720" w:num="1"/>
        </w:sectPr>
      </w:pPr>
    </w:p>
    <w:p>
      <w:pPr>
        <w:pStyle w:val="2"/>
        <w:spacing w:line="275" w:lineRule="auto"/>
      </w:pPr>
    </w:p>
    <w:p>
      <w:pPr>
        <w:pStyle w:val="2"/>
        <w:spacing w:line="276" w:lineRule="auto"/>
      </w:pPr>
    </w:p>
    <w:p>
      <w:pPr>
        <w:pStyle w:val="2"/>
        <w:spacing w:line="276" w:lineRule="auto"/>
      </w:pPr>
    </w:p>
    <w:p>
      <w:pPr>
        <w:spacing w:before="68" w:line="279" w:lineRule="auto"/>
        <w:ind w:right="86"/>
        <w:jc w:val="both"/>
        <w:rPr>
          <w:rFonts w:ascii="宋体" w:hAnsi="宋体" w:eastAsia="宋体" w:cs="宋体"/>
          <w:sz w:val="21"/>
          <w:szCs w:val="21"/>
        </w:rPr>
      </w:pPr>
      <w:r>
        <w:rPr>
          <w:rFonts w:ascii="宋体" w:hAnsi="宋体" w:eastAsia="宋体" w:cs="宋体"/>
          <w:sz w:val="21"/>
          <w:szCs w:val="21"/>
        </w:rPr>
        <w:t>范》</w:t>
      </w:r>
      <w:r>
        <w:rPr>
          <w:rFonts w:ascii="Times New Roman" w:hAnsi="Times New Roman" w:eastAsia="Times New Roman" w:cs="Times New Roman"/>
          <w:sz w:val="21"/>
          <w:szCs w:val="21"/>
        </w:rPr>
        <w:t>GB55037—2022</w:t>
      </w:r>
      <w:r>
        <w:rPr>
          <w:rFonts w:ascii="宋体" w:hAnsi="宋体" w:eastAsia="宋体" w:cs="宋体"/>
          <w:sz w:val="21"/>
          <w:szCs w:val="21"/>
        </w:rPr>
        <w:t>第8.1.8～8.1.10条的条文说明“条文中未</w:t>
      </w:r>
      <w:r>
        <w:rPr>
          <w:rFonts w:ascii="宋体" w:hAnsi="宋体" w:eastAsia="宋体" w:cs="宋体"/>
          <w:spacing w:val="-1"/>
          <w:sz w:val="21"/>
          <w:szCs w:val="21"/>
        </w:rPr>
        <w:t>明确具体部位或场所的，要求该建筑全部设置自动灭火系统，但</w:t>
      </w:r>
      <w:r>
        <w:rPr>
          <w:rFonts w:ascii="宋体" w:hAnsi="宋体" w:eastAsia="宋体" w:cs="宋体"/>
          <w:spacing w:val="7"/>
          <w:sz w:val="21"/>
          <w:szCs w:val="21"/>
        </w:rPr>
        <w:t>其中不适用设置自动灭火系统的部位或可燃物很少的部位可以不设置”可知，无可燃物的楼梯间、管道井等位置可以不包括</w:t>
      </w:r>
      <w:r>
        <w:rPr>
          <w:rFonts w:ascii="宋体" w:hAnsi="宋体" w:eastAsia="宋体" w:cs="宋体"/>
          <w:spacing w:val="-4"/>
          <w:sz w:val="21"/>
          <w:szCs w:val="21"/>
        </w:rPr>
        <w:t>在内。</w:t>
      </w:r>
    </w:p>
    <w:p>
      <w:pPr>
        <w:spacing w:before="2" w:line="282" w:lineRule="auto"/>
        <w:ind w:right="84" w:firstLine="429"/>
        <w:jc w:val="both"/>
        <w:rPr>
          <w:rFonts w:ascii="宋体" w:hAnsi="宋体" w:eastAsia="宋体" w:cs="宋体"/>
          <w:sz w:val="21"/>
          <w:szCs w:val="21"/>
        </w:rPr>
      </w:pPr>
      <w:r>
        <w:rPr>
          <w:rFonts w:ascii="宋体" w:hAnsi="宋体" w:eastAsia="宋体" w:cs="宋体"/>
          <w:spacing w:val="-1"/>
          <w:sz w:val="21"/>
          <w:szCs w:val="21"/>
        </w:rPr>
        <w:t>屋顶单独设置的风机房、水泵房等设备间，当不计入建筑高</w:t>
      </w:r>
      <w:r>
        <w:rPr>
          <w:rFonts w:ascii="宋体" w:hAnsi="宋体" w:eastAsia="宋体" w:cs="宋体"/>
          <w:sz w:val="21"/>
          <w:szCs w:val="21"/>
        </w:rPr>
        <w:t>度及建筑层数时，可不设置喷头；常温溜冰</w:t>
      </w:r>
      <w:r>
        <w:rPr>
          <w:rFonts w:ascii="宋体" w:hAnsi="宋体" w:eastAsia="宋体" w:cs="宋体"/>
          <w:spacing w:val="-1"/>
          <w:sz w:val="21"/>
          <w:szCs w:val="21"/>
        </w:rPr>
        <w:t>场和季节性游泳池等可能用于商业等人员密集活动等其他用途时，应设置自动喷水灭</w:t>
      </w:r>
      <w:r>
        <w:rPr>
          <w:rFonts w:ascii="宋体" w:hAnsi="宋体" w:eastAsia="宋体" w:cs="宋体"/>
          <w:spacing w:val="-8"/>
          <w:sz w:val="21"/>
          <w:szCs w:val="21"/>
        </w:rPr>
        <w:t>火系统。</w:t>
      </w:r>
    </w:p>
    <w:p>
      <w:pPr>
        <w:pStyle w:val="2"/>
      </w:pPr>
    </w:p>
    <w:p>
      <w:pPr>
        <w:spacing w:before="68" w:line="221" w:lineRule="auto"/>
        <w:ind w:left="1413"/>
        <w:rPr>
          <w:rFonts w:ascii="黑体" w:hAnsi="黑体" w:eastAsia="黑体" w:cs="黑体"/>
          <w:sz w:val="21"/>
          <w:szCs w:val="21"/>
        </w:rPr>
      </w:pPr>
      <w:r>
        <w:rPr>
          <w:rFonts w:ascii="宋体" w:hAnsi="宋体" w:eastAsia="宋体" w:cs="宋体"/>
          <w:b/>
          <w:bCs/>
          <w:spacing w:val="-6"/>
          <w:sz w:val="21"/>
          <w:szCs w:val="21"/>
        </w:rPr>
        <w:t>3.3</w:t>
      </w:r>
      <w:r>
        <w:rPr>
          <w:rFonts w:ascii="黑体" w:hAnsi="黑体" w:eastAsia="黑体" w:cs="黑体"/>
          <w:b/>
          <w:bCs/>
          <w:spacing w:val="-6"/>
          <w:sz w:val="21"/>
          <w:szCs w:val="21"/>
        </w:rPr>
        <w:t>自动跟踪定位射流灭火系统</w:t>
      </w:r>
    </w:p>
    <w:p>
      <w:pPr>
        <w:pStyle w:val="2"/>
        <w:spacing w:line="303" w:lineRule="auto"/>
      </w:pPr>
    </w:p>
    <w:p>
      <w:pPr>
        <w:spacing w:before="68" w:line="282" w:lineRule="auto"/>
        <w:ind w:right="90" w:firstLine="429"/>
        <w:jc w:val="both"/>
        <w:rPr>
          <w:rFonts w:ascii="宋体" w:hAnsi="宋体" w:eastAsia="宋体" w:cs="宋体"/>
          <w:sz w:val="21"/>
          <w:szCs w:val="21"/>
        </w:rPr>
      </w:pPr>
      <w:r>
        <w:rPr>
          <w:rFonts w:ascii="宋体" w:hAnsi="宋体" w:eastAsia="宋体" w:cs="宋体"/>
          <w:spacing w:val="7"/>
          <w:sz w:val="21"/>
          <w:szCs w:val="21"/>
        </w:rPr>
        <w:t>本节规定了自动跟踪定位射流灭火系统的适用场所。自动喷水灭火系统在一定高度范围内具有相当的灭火优势，该系统</w:t>
      </w:r>
      <w:r>
        <w:rPr>
          <w:rFonts w:ascii="宋体" w:hAnsi="宋体" w:eastAsia="宋体" w:cs="宋体"/>
          <w:spacing w:val="-2"/>
          <w:sz w:val="21"/>
          <w:szCs w:val="21"/>
        </w:rPr>
        <w:t>简单、可靠、经济。对于净高不大于12</w:t>
      </w:r>
      <w:r>
        <w:rPr>
          <w:rFonts w:ascii="Times New Roman" w:hAnsi="Times New Roman" w:eastAsia="Times New Roman" w:cs="Times New Roman"/>
          <w:spacing w:val="-2"/>
          <w:sz w:val="21"/>
          <w:szCs w:val="21"/>
        </w:rPr>
        <w:t>m</w:t>
      </w:r>
      <w:r>
        <w:rPr>
          <w:rFonts w:ascii="宋体" w:hAnsi="宋体" w:eastAsia="宋体" w:cs="宋体"/>
          <w:spacing w:val="-2"/>
          <w:sz w:val="21"/>
          <w:szCs w:val="21"/>
        </w:rPr>
        <w:t>的高大净空场所，应优</w:t>
      </w:r>
      <w:r>
        <w:rPr>
          <w:rFonts w:ascii="宋体" w:hAnsi="宋体" w:eastAsia="宋体" w:cs="宋体"/>
          <w:spacing w:val="7"/>
          <w:sz w:val="21"/>
          <w:szCs w:val="21"/>
        </w:rPr>
        <w:t>先选用自动喷水灭火系统。本节比现行国家标准《自动跟踪定</w:t>
      </w:r>
      <w:r>
        <w:rPr>
          <w:rFonts w:ascii="宋体" w:hAnsi="宋体" w:eastAsia="宋体" w:cs="宋体"/>
          <w:spacing w:val="15"/>
          <w:sz w:val="21"/>
          <w:szCs w:val="21"/>
        </w:rPr>
        <w:t>位射流灭火系统技术标准》</w:t>
      </w:r>
      <w:r>
        <w:rPr>
          <w:rFonts w:ascii="宋体" w:hAnsi="宋体" w:eastAsia="宋体" w:cs="宋体"/>
          <w:sz w:val="21"/>
          <w:szCs w:val="21"/>
        </w:rPr>
        <w:t>GB</w:t>
      </w:r>
      <w:r>
        <w:rPr>
          <w:rFonts w:ascii="宋体" w:hAnsi="宋体" w:eastAsia="宋体" w:cs="宋体"/>
          <w:spacing w:val="15"/>
          <w:sz w:val="21"/>
          <w:szCs w:val="21"/>
        </w:rPr>
        <w:t>51427中的要求有一定程度</w:t>
      </w:r>
      <w:r>
        <w:rPr>
          <w:rFonts w:ascii="宋体" w:hAnsi="宋体" w:eastAsia="宋体" w:cs="宋体"/>
          <w:spacing w:val="-4"/>
          <w:sz w:val="21"/>
          <w:szCs w:val="21"/>
        </w:rPr>
        <w:t>提高。</w:t>
      </w:r>
    </w:p>
    <w:p>
      <w:pPr>
        <w:pStyle w:val="2"/>
      </w:pPr>
    </w:p>
    <w:p>
      <w:pPr>
        <w:spacing w:before="69" w:line="221" w:lineRule="auto"/>
        <w:ind w:left="1742"/>
        <w:rPr>
          <w:rFonts w:ascii="黑体" w:hAnsi="黑体" w:eastAsia="黑体" w:cs="黑体"/>
          <w:sz w:val="21"/>
          <w:szCs w:val="21"/>
        </w:rPr>
      </w:pPr>
      <w:r>
        <w:rPr>
          <w:rFonts w:ascii="宋体" w:hAnsi="宋体" w:eastAsia="宋体" w:cs="宋体"/>
          <w:b/>
          <w:bCs/>
          <w:spacing w:val="-3"/>
          <w:sz w:val="21"/>
          <w:szCs w:val="21"/>
        </w:rPr>
        <w:t>3.4</w:t>
      </w:r>
      <w:r>
        <w:rPr>
          <w:rFonts w:ascii="黑体" w:hAnsi="黑体" w:eastAsia="黑体" w:cs="黑体"/>
          <w:b/>
          <w:bCs/>
          <w:spacing w:val="-3"/>
          <w:sz w:val="21"/>
          <w:szCs w:val="21"/>
        </w:rPr>
        <w:t>其他灭火系统及装置</w:t>
      </w:r>
    </w:p>
    <w:p>
      <w:pPr>
        <w:pStyle w:val="2"/>
        <w:spacing w:line="313" w:lineRule="auto"/>
      </w:pPr>
    </w:p>
    <w:p>
      <w:pPr>
        <w:spacing w:before="69" w:line="273" w:lineRule="auto"/>
        <w:jc w:val="both"/>
        <w:rPr>
          <w:rFonts w:ascii="宋体" w:hAnsi="宋体" w:eastAsia="宋体" w:cs="宋体"/>
          <w:sz w:val="21"/>
          <w:szCs w:val="21"/>
        </w:rPr>
      </w:pPr>
      <w:r>
        <w:rPr>
          <w:rFonts w:ascii="Times New Roman" w:hAnsi="Times New Roman" w:eastAsia="Times New Roman" w:cs="Times New Roman"/>
          <w:b/>
          <w:bCs/>
          <w:spacing w:val="-5"/>
          <w:sz w:val="21"/>
          <w:szCs w:val="21"/>
        </w:rPr>
        <w:t>3.4.2</w:t>
      </w:r>
      <w:r>
        <w:rPr>
          <w:rFonts w:ascii="宋体" w:hAnsi="宋体" w:eastAsia="宋体" w:cs="宋体"/>
          <w:spacing w:val="-5"/>
          <w:sz w:val="21"/>
          <w:szCs w:val="21"/>
        </w:rPr>
        <w:t>第8款影像中心机房包括</w:t>
      </w:r>
      <w:r>
        <w:rPr>
          <w:rFonts w:ascii="Times New Roman" w:hAnsi="Times New Roman" w:eastAsia="Times New Roman" w:cs="Times New Roman"/>
          <w:spacing w:val="-5"/>
          <w:sz w:val="21"/>
          <w:szCs w:val="21"/>
        </w:rPr>
        <w:t>CT</w:t>
      </w:r>
      <w:r>
        <w:rPr>
          <w:rFonts w:ascii="宋体" w:hAnsi="宋体" w:eastAsia="宋体" w:cs="宋体"/>
          <w:spacing w:val="-5"/>
          <w:sz w:val="21"/>
          <w:szCs w:val="21"/>
        </w:rPr>
        <w:t>室、</w:t>
      </w:r>
      <w:r>
        <w:rPr>
          <w:rFonts w:ascii="Times New Roman" w:hAnsi="Times New Roman" w:eastAsia="Times New Roman" w:cs="Times New Roman"/>
          <w:spacing w:val="-5"/>
          <w:sz w:val="21"/>
          <w:szCs w:val="21"/>
        </w:rPr>
        <w:t>MR</w:t>
      </w:r>
      <w:r>
        <w:rPr>
          <w:rFonts w:ascii="宋体" w:hAnsi="宋体" w:eastAsia="宋体" w:cs="宋体"/>
          <w:spacing w:val="-5"/>
          <w:sz w:val="21"/>
          <w:szCs w:val="21"/>
        </w:rPr>
        <w:t>室、</w:t>
      </w:r>
      <w:r>
        <w:rPr>
          <w:rFonts w:ascii="Times New Roman" w:hAnsi="Times New Roman" w:eastAsia="Times New Roman" w:cs="Times New Roman"/>
          <w:spacing w:val="-5"/>
          <w:sz w:val="21"/>
          <w:szCs w:val="21"/>
        </w:rPr>
        <w:t>DR</w:t>
      </w:r>
      <w:r>
        <w:rPr>
          <w:rFonts w:ascii="宋体" w:hAnsi="宋体" w:eastAsia="宋体" w:cs="宋体"/>
          <w:spacing w:val="-5"/>
          <w:sz w:val="21"/>
          <w:szCs w:val="21"/>
        </w:rPr>
        <w:t>室、</w:t>
      </w:r>
      <w:r>
        <w:rPr>
          <w:rFonts w:ascii="Times New Roman" w:hAnsi="Times New Roman" w:eastAsia="Times New Roman" w:cs="Times New Roman"/>
          <w:spacing w:val="-5"/>
          <w:sz w:val="21"/>
          <w:szCs w:val="21"/>
        </w:rPr>
        <w:t>X</w:t>
      </w:r>
      <w:r>
        <w:rPr>
          <w:rFonts w:ascii="宋体" w:hAnsi="宋体" w:eastAsia="宋体" w:cs="宋体"/>
          <w:spacing w:val="-5"/>
          <w:sz w:val="21"/>
          <w:szCs w:val="21"/>
        </w:rPr>
        <w:t>光室、</w:t>
      </w:r>
      <w:r>
        <w:rPr>
          <w:rFonts w:ascii="宋体" w:hAnsi="宋体" w:eastAsia="宋体" w:cs="宋体"/>
          <w:spacing w:val="-3"/>
          <w:sz w:val="21"/>
          <w:szCs w:val="21"/>
        </w:rPr>
        <w:t>数字肠胃室、钼钯室、乳腺室等房间；核医学科机房包括</w:t>
      </w:r>
      <w:r>
        <w:rPr>
          <w:rFonts w:ascii="Times New Roman" w:hAnsi="Times New Roman" w:eastAsia="Times New Roman" w:cs="Times New Roman"/>
          <w:spacing w:val="-3"/>
          <w:sz w:val="21"/>
          <w:szCs w:val="21"/>
        </w:rPr>
        <w:t>PE</w:t>
      </w:r>
      <w:r>
        <w:rPr>
          <w:rFonts w:ascii="Times New Roman" w:hAnsi="Times New Roman" w:eastAsia="Times New Roman" w:cs="Times New Roman"/>
          <w:spacing w:val="-4"/>
          <w:sz w:val="21"/>
          <w:szCs w:val="21"/>
        </w:rPr>
        <w:t>T</w:t>
      </w:r>
      <w:r>
        <w:rPr>
          <w:rFonts w:ascii="宋体" w:hAnsi="宋体" w:eastAsia="宋体" w:cs="宋体"/>
          <w:spacing w:val="-4"/>
          <w:sz w:val="21"/>
          <w:szCs w:val="21"/>
        </w:rPr>
        <w:t>机房、</w:t>
      </w:r>
      <w:r>
        <w:rPr>
          <w:rFonts w:ascii="Times New Roman" w:hAnsi="Times New Roman" w:eastAsia="Times New Roman" w:cs="Times New Roman"/>
          <w:spacing w:val="-4"/>
          <w:sz w:val="21"/>
          <w:szCs w:val="21"/>
        </w:rPr>
        <w:t>ECT</w:t>
      </w:r>
      <w:r>
        <w:rPr>
          <w:rFonts w:ascii="宋体" w:hAnsi="宋体" w:eastAsia="宋体" w:cs="宋体"/>
          <w:spacing w:val="-4"/>
          <w:sz w:val="21"/>
          <w:szCs w:val="21"/>
        </w:rPr>
        <w:t>机房、</w:t>
      </w:r>
      <w:r>
        <w:rPr>
          <w:rFonts w:ascii="Times New Roman" w:hAnsi="Times New Roman" w:eastAsia="Times New Roman" w:cs="Times New Roman"/>
          <w:spacing w:val="-4"/>
          <w:sz w:val="21"/>
          <w:szCs w:val="21"/>
        </w:rPr>
        <w:t>PET/CT</w:t>
      </w:r>
      <w:r>
        <w:rPr>
          <w:rFonts w:ascii="宋体" w:hAnsi="宋体" w:eastAsia="宋体" w:cs="宋体"/>
          <w:spacing w:val="-4"/>
          <w:sz w:val="21"/>
          <w:szCs w:val="21"/>
        </w:rPr>
        <w:t>机房等房间；放射治疗机房包括直线加</w:t>
      </w:r>
      <w:r>
        <w:rPr>
          <w:rFonts w:ascii="宋体" w:hAnsi="宋体" w:eastAsia="宋体" w:cs="宋体"/>
          <w:sz w:val="21"/>
          <w:szCs w:val="21"/>
        </w:rPr>
        <w:t>速器机房、模拟机房等。这些设备房间人员</w:t>
      </w:r>
      <w:r>
        <w:rPr>
          <w:rFonts w:ascii="宋体" w:hAnsi="宋体" w:eastAsia="宋体" w:cs="宋体"/>
          <w:spacing w:val="-1"/>
          <w:sz w:val="21"/>
          <w:szCs w:val="21"/>
        </w:rPr>
        <w:t>不经常进入，可设置</w:t>
      </w:r>
      <w:r>
        <w:rPr>
          <w:rFonts w:ascii="宋体" w:hAnsi="宋体" w:eastAsia="宋体" w:cs="宋体"/>
          <w:spacing w:val="3"/>
          <w:sz w:val="21"/>
          <w:szCs w:val="21"/>
        </w:rPr>
        <w:t>气体灭火。本条第9款的特殊重要设备，主要指设置在重要部位</w:t>
      </w:r>
      <w:r>
        <w:rPr>
          <w:rFonts w:ascii="宋体" w:hAnsi="宋体" w:eastAsia="宋体" w:cs="宋体"/>
          <w:spacing w:val="7"/>
          <w:sz w:val="21"/>
          <w:szCs w:val="21"/>
        </w:rPr>
        <w:t>和场所中，发生火灾后将严重影响生产和生活的关键设备。例</w:t>
      </w:r>
      <w:r>
        <w:rPr>
          <w:rFonts w:ascii="宋体" w:hAnsi="宋体" w:eastAsia="宋体" w:cs="宋体"/>
          <w:spacing w:val="-1"/>
          <w:sz w:val="21"/>
          <w:szCs w:val="21"/>
        </w:rPr>
        <w:t>如：高层民用建筑内的高、低压变配电室(间)或设置在地下室为</w:t>
      </w:r>
      <w:r>
        <w:rPr>
          <w:rFonts w:ascii="宋体" w:hAnsi="宋体" w:eastAsia="宋体" w:cs="宋体"/>
          <w:spacing w:val="-3"/>
          <w:sz w:val="21"/>
          <w:szCs w:val="21"/>
        </w:rPr>
        <w:t>高层建筑服务的变配电室(间)。</w:t>
      </w:r>
    </w:p>
    <w:p>
      <w:pPr>
        <w:spacing w:line="273" w:lineRule="auto"/>
        <w:rPr>
          <w:rFonts w:ascii="宋体" w:hAnsi="宋体" w:eastAsia="宋体" w:cs="宋体"/>
          <w:sz w:val="21"/>
          <w:szCs w:val="21"/>
        </w:rPr>
        <w:sectPr>
          <w:footerReference r:id="rId85" w:type="default"/>
          <w:pgSz w:w="8280" w:h="11850"/>
          <w:pgMar w:top="400" w:right="1124" w:bottom="1330" w:left="1190" w:header="0" w:footer="1057" w:gutter="0"/>
          <w:cols w:space="720" w:num="1"/>
        </w:sectPr>
      </w:pPr>
    </w:p>
    <w:p>
      <w:pPr>
        <w:pStyle w:val="2"/>
        <w:spacing w:line="264" w:lineRule="auto"/>
      </w:pPr>
    </w:p>
    <w:p>
      <w:pPr>
        <w:pStyle w:val="2"/>
        <w:spacing w:line="264" w:lineRule="auto"/>
      </w:pPr>
    </w:p>
    <w:p>
      <w:pPr>
        <w:pStyle w:val="2"/>
        <w:spacing w:line="264" w:lineRule="auto"/>
      </w:pPr>
    </w:p>
    <w:p>
      <w:pPr>
        <w:spacing w:before="69" w:line="264" w:lineRule="auto"/>
        <w:rPr>
          <w:rFonts w:ascii="宋体" w:hAnsi="宋体" w:eastAsia="宋体" w:cs="宋体"/>
          <w:sz w:val="21"/>
          <w:szCs w:val="21"/>
        </w:rPr>
      </w:pPr>
      <w:bookmarkStart w:id="67" w:name="bookmark127"/>
      <w:bookmarkEnd w:id="67"/>
      <w:bookmarkStart w:id="68" w:name="bookmark107"/>
      <w:bookmarkEnd w:id="68"/>
      <w:bookmarkStart w:id="69" w:name="bookmark126"/>
      <w:bookmarkEnd w:id="69"/>
      <w:bookmarkStart w:id="70" w:name="bookmark106"/>
      <w:bookmarkEnd w:id="70"/>
      <w:bookmarkStart w:id="71" w:name="bookmark105"/>
      <w:bookmarkEnd w:id="71"/>
      <w:r>
        <w:rPr>
          <w:rFonts w:ascii="宋体" w:hAnsi="宋体" w:eastAsia="宋体" w:cs="宋体"/>
          <w:spacing w:val="3"/>
          <w:sz w:val="21"/>
          <w:szCs w:val="21"/>
        </w:rPr>
        <w:t>3.4.3探火管灭火装置是一种新型</w:t>
      </w:r>
      <w:r>
        <w:rPr>
          <w:rFonts w:ascii="宋体" w:hAnsi="宋体" w:eastAsia="宋体" w:cs="宋体"/>
          <w:spacing w:val="2"/>
          <w:sz w:val="21"/>
          <w:szCs w:val="21"/>
        </w:rPr>
        <w:t>的灭火设备，适用于应设置</w:t>
      </w:r>
      <w:r>
        <w:rPr>
          <w:rFonts w:ascii="宋体" w:hAnsi="宋体" w:eastAsia="宋体" w:cs="宋体"/>
          <w:spacing w:val="-2"/>
          <w:sz w:val="21"/>
          <w:szCs w:val="21"/>
        </w:rPr>
        <w:t>自动灭火系统但设置条件有困难的场所、大空间内应设置自动灭火系统保护的小型封闭型设备、其他需重点防护的小型封闭型设备或空间。采用探火管灭火装置，可由原来对较大空间的房间保</w:t>
      </w:r>
      <w:r>
        <w:rPr>
          <w:rFonts w:ascii="宋体" w:hAnsi="宋体" w:eastAsia="宋体" w:cs="宋体"/>
          <w:spacing w:val="-1"/>
          <w:sz w:val="21"/>
          <w:szCs w:val="21"/>
        </w:rPr>
        <w:t>护改为直接对各种较小空间贵重设备进行重点保护，而不必采用</w:t>
      </w:r>
      <w:r>
        <w:rPr>
          <w:rFonts w:ascii="宋体" w:hAnsi="宋体" w:eastAsia="宋体" w:cs="宋体"/>
          <w:spacing w:val="-2"/>
          <w:sz w:val="21"/>
          <w:szCs w:val="21"/>
        </w:rPr>
        <w:t>大型自动灭火系统保护整个空间的方法来实现。</w:t>
      </w:r>
    </w:p>
    <w:p>
      <w:pPr>
        <w:spacing w:before="108" w:line="264" w:lineRule="auto"/>
        <w:ind w:right="20"/>
        <w:rPr>
          <w:rFonts w:ascii="宋体" w:hAnsi="宋体" w:eastAsia="宋体" w:cs="宋体"/>
          <w:sz w:val="21"/>
          <w:szCs w:val="21"/>
        </w:rPr>
      </w:pPr>
      <w:r>
        <w:rPr>
          <w:rFonts w:ascii="Times New Roman" w:hAnsi="Times New Roman" w:eastAsia="Times New Roman" w:cs="Times New Roman"/>
          <w:spacing w:val="1"/>
          <w:sz w:val="21"/>
          <w:szCs w:val="21"/>
        </w:rPr>
        <w:t>3.4.4</w:t>
      </w:r>
      <w:r>
        <w:rPr>
          <w:rFonts w:ascii="宋体" w:hAnsi="宋体" w:eastAsia="宋体" w:cs="宋体"/>
          <w:spacing w:val="1"/>
          <w:sz w:val="21"/>
          <w:szCs w:val="21"/>
        </w:rPr>
        <w:t>《建筑高度大于250米</w:t>
      </w:r>
      <w:r>
        <w:rPr>
          <w:rFonts w:ascii="宋体" w:hAnsi="宋体" w:eastAsia="宋体" w:cs="宋体"/>
          <w:sz w:val="21"/>
          <w:szCs w:val="21"/>
        </w:rPr>
        <w:t>民用建筑防火设计加强性技术要求</w:t>
      </w:r>
      <w:r>
        <w:rPr>
          <w:rFonts w:ascii="宋体" w:hAnsi="宋体" w:eastAsia="宋体" w:cs="宋体"/>
          <w:spacing w:val="-19"/>
          <w:sz w:val="21"/>
          <w:szCs w:val="21"/>
        </w:rPr>
        <w:t>(试行)》(公消〔2018〕57号)规定“电梯机房、电缆竖井内应设置自动</w:t>
      </w:r>
      <w:r>
        <w:rPr>
          <w:rFonts w:ascii="宋体" w:hAnsi="宋体" w:eastAsia="宋体" w:cs="宋体"/>
          <w:spacing w:val="-15"/>
          <w:sz w:val="21"/>
          <w:szCs w:val="21"/>
        </w:rPr>
        <w:t>灭火设施”。现行国家标准《消防设施通用规范》</w:t>
      </w:r>
      <w:r>
        <w:rPr>
          <w:rFonts w:ascii="Times New Roman" w:hAnsi="Times New Roman" w:eastAsia="Times New Roman" w:cs="Times New Roman"/>
          <w:spacing w:val="-15"/>
          <w:sz w:val="21"/>
          <w:szCs w:val="21"/>
        </w:rPr>
        <w:t>GB55</w:t>
      </w:r>
      <w:r>
        <w:rPr>
          <w:rFonts w:ascii="Times New Roman" w:hAnsi="Times New Roman" w:eastAsia="Times New Roman" w:cs="Times New Roman"/>
          <w:spacing w:val="-16"/>
          <w:sz w:val="21"/>
          <w:szCs w:val="21"/>
        </w:rPr>
        <w:t>036</w:t>
      </w:r>
      <w:r>
        <w:rPr>
          <w:rFonts w:ascii="宋体" w:hAnsi="宋体" w:eastAsia="宋体" w:cs="宋体"/>
          <w:spacing w:val="-16"/>
          <w:sz w:val="21"/>
          <w:szCs w:val="21"/>
        </w:rPr>
        <w:t>和《建筑</w:t>
      </w:r>
      <w:r>
        <w:rPr>
          <w:rFonts w:ascii="宋体" w:hAnsi="宋体" w:eastAsia="宋体" w:cs="宋体"/>
          <w:spacing w:val="3"/>
          <w:sz w:val="21"/>
          <w:szCs w:val="21"/>
        </w:rPr>
        <w:t>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50016</w:t>
      </w:r>
      <w:r>
        <w:rPr>
          <w:rFonts w:ascii="宋体" w:hAnsi="宋体" w:eastAsia="宋体" w:cs="宋体"/>
          <w:spacing w:val="3"/>
          <w:sz w:val="21"/>
          <w:szCs w:val="21"/>
        </w:rPr>
        <w:t>也有类似的规定。某些特定场合不适</w:t>
      </w:r>
      <w:r>
        <w:rPr>
          <w:rFonts w:ascii="宋体" w:hAnsi="宋体" w:eastAsia="宋体" w:cs="宋体"/>
          <w:spacing w:val="-2"/>
          <w:sz w:val="21"/>
          <w:szCs w:val="21"/>
        </w:rPr>
        <w:t>宜采用水灭火系统但仍需要采用自动灭火系统时，可采用超细干</w:t>
      </w:r>
      <w:r>
        <w:rPr>
          <w:rFonts w:ascii="宋体" w:hAnsi="宋体" w:eastAsia="宋体" w:cs="宋体"/>
          <w:spacing w:val="-5"/>
          <w:sz w:val="21"/>
          <w:szCs w:val="21"/>
        </w:rPr>
        <w:t>粉自动灭火装置。</w:t>
      </w:r>
    </w:p>
    <w:p>
      <w:pPr>
        <w:spacing w:before="98" w:line="273" w:lineRule="auto"/>
        <w:ind w:right="13" w:firstLine="439"/>
        <w:jc w:val="both"/>
        <w:rPr>
          <w:rFonts w:ascii="宋体" w:hAnsi="宋体" w:eastAsia="宋体" w:cs="宋体"/>
          <w:sz w:val="21"/>
          <w:szCs w:val="21"/>
        </w:rPr>
      </w:pPr>
      <w:r>
        <w:rPr>
          <w:rFonts w:ascii="宋体" w:hAnsi="宋体" w:eastAsia="宋体" w:cs="宋体"/>
          <w:spacing w:val="-5"/>
          <w:sz w:val="21"/>
          <w:szCs w:val="21"/>
        </w:rPr>
        <w:t>现行消防救援行业标准《干粉灭火装置》</w:t>
      </w:r>
      <w:r>
        <w:rPr>
          <w:rFonts w:ascii="Times New Roman" w:hAnsi="Times New Roman" w:eastAsia="Times New Roman" w:cs="Times New Roman"/>
          <w:spacing w:val="-5"/>
          <w:sz w:val="21"/>
          <w:szCs w:val="21"/>
        </w:rPr>
        <w:t>XF602</w:t>
      </w:r>
      <w:r>
        <w:rPr>
          <w:rFonts w:ascii="宋体" w:hAnsi="宋体" w:eastAsia="宋体" w:cs="宋体"/>
          <w:spacing w:val="-5"/>
          <w:sz w:val="21"/>
          <w:szCs w:val="21"/>
        </w:rPr>
        <w:t>是干粉装置</w:t>
      </w:r>
      <w:r>
        <w:rPr>
          <w:rFonts w:ascii="宋体" w:hAnsi="宋体" w:eastAsia="宋体" w:cs="宋体"/>
          <w:spacing w:val="-9"/>
          <w:sz w:val="21"/>
          <w:szCs w:val="21"/>
        </w:rPr>
        <w:t>生产、检验的唯一标准，当需要用于高层建筑的强弱电间、电梯机</w:t>
      </w:r>
      <w:r>
        <w:rPr>
          <w:rFonts w:ascii="宋体" w:hAnsi="宋体" w:eastAsia="宋体" w:cs="宋体"/>
          <w:spacing w:val="-2"/>
          <w:sz w:val="21"/>
          <w:szCs w:val="21"/>
        </w:rPr>
        <w:t>房灭火时，一般采用超细干粉自动灭火装置。超细干粉灭火剂是</w:t>
      </w:r>
      <w:r>
        <w:rPr>
          <w:rFonts w:ascii="宋体" w:hAnsi="宋体" w:eastAsia="宋体" w:cs="宋体"/>
          <w:spacing w:val="-1"/>
          <w:sz w:val="21"/>
          <w:szCs w:val="21"/>
        </w:rPr>
        <w:t>90%粒径小于或等于20μ</w:t>
      </w:r>
      <w:r>
        <w:rPr>
          <w:rFonts w:ascii="Times New Roman" w:hAnsi="Times New Roman" w:eastAsia="Times New Roman" w:cs="Times New Roman"/>
          <w:spacing w:val="-1"/>
          <w:sz w:val="21"/>
          <w:szCs w:val="21"/>
        </w:rPr>
        <w:t>m</w:t>
      </w:r>
      <w:r>
        <w:rPr>
          <w:rFonts w:ascii="宋体" w:hAnsi="宋体" w:eastAsia="宋体" w:cs="宋体"/>
          <w:spacing w:val="-1"/>
          <w:sz w:val="21"/>
          <w:szCs w:val="21"/>
        </w:rPr>
        <w:t>的固体粉末灭火剂，灭火效能值优于</w:t>
      </w:r>
      <w:r>
        <w:rPr>
          <w:rFonts w:ascii="宋体" w:hAnsi="宋体" w:eastAsia="宋体" w:cs="宋体"/>
          <w:spacing w:val="-9"/>
          <w:sz w:val="21"/>
          <w:szCs w:val="21"/>
        </w:rPr>
        <w:t>普通干粉灭火剂，且具有易流动、防潮、防结块的性能。超细干粉</w:t>
      </w:r>
      <w:r>
        <w:rPr>
          <w:rFonts w:ascii="宋体" w:hAnsi="宋体" w:eastAsia="宋体" w:cs="宋体"/>
          <w:spacing w:val="5"/>
          <w:sz w:val="21"/>
          <w:szCs w:val="21"/>
        </w:rPr>
        <w:t>自动灭火装置在全国有近20个省市有地方标准，名称包括脉冲</w:t>
      </w:r>
      <w:r>
        <w:rPr>
          <w:rFonts w:ascii="宋体" w:hAnsi="宋体" w:eastAsia="宋体" w:cs="宋体"/>
          <w:spacing w:val="-2"/>
          <w:sz w:val="21"/>
          <w:szCs w:val="21"/>
        </w:rPr>
        <w:t>干粉自动灭火装置、脉冲超细干粉灭火系统、脉冲超细干粉灭火</w:t>
      </w:r>
      <w:r>
        <w:rPr>
          <w:rFonts w:ascii="宋体" w:hAnsi="宋体" w:eastAsia="宋体" w:cs="宋体"/>
          <w:spacing w:val="-9"/>
          <w:sz w:val="21"/>
          <w:szCs w:val="21"/>
        </w:rPr>
        <w:t>装置、超细干粉自动灭火装置、悬挂式干粉灭火系统、悬挂式干粉灭火装置、超细干粉灭火系统、超细干粉无管网灭火系统、固定式</w:t>
      </w:r>
      <w:r>
        <w:rPr>
          <w:rFonts w:ascii="宋体" w:hAnsi="宋体" w:eastAsia="宋体" w:cs="宋体"/>
          <w:spacing w:val="-4"/>
          <w:sz w:val="21"/>
          <w:szCs w:val="21"/>
        </w:rPr>
        <w:t>燃气型干粉灭火系统等。</w:t>
      </w:r>
    </w:p>
    <w:p>
      <w:pPr>
        <w:spacing w:before="67" w:line="273" w:lineRule="auto"/>
        <w:ind w:right="10" w:firstLine="439"/>
        <w:jc w:val="both"/>
        <w:rPr>
          <w:rFonts w:ascii="宋体" w:hAnsi="宋体" w:eastAsia="宋体" w:cs="宋体"/>
          <w:sz w:val="21"/>
          <w:szCs w:val="21"/>
        </w:rPr>
      </w:pPr>
      <w:r>
        <w:rPr>
          <w:rFonts w:ascii="宋体" w:hAnsi="宋体" w:eastAsia="宋体" w:cs="宋体"/>
          <w:spacing w:val="-2"/>
          <w:sz w:val="21"/>
          <w:szCs w:val="21"/>
        </w:rPr>
        <w:t>超细干粉自动灭火装置的工作原理：当该装置接收到探测启动组件、感温玻璃球或热敏线传递的温度信号时，装置内的惰性气体或固态气体发生剂迅速产生膨胀的气体，将底部密封的铝箔冲破，并将超细干粉迅速送入火场，在保护区范围内形成全淹没</w:t>
      </w:r>
      <w:r>
        <w:rPr>
          <w:rFonts w:ascii="宋体" w:hAnsi="宋体" w:eastAsia="宋体" w:cs="宋体"/>
          <w:spacing w:val="-12"/>
          <w:sz w:val="21"/>
          <w:szCs w:val="21"/>
        </w:rPr>
        <w:t>状态，火焰在干粉的物理、化学作用下被扑灭。</w:t>
      </w:r>
    </w:p>
    <w:p>
      <w:pPr>
        <w:spacing w:before="36" w:line="275" w:lineRule="auto"/>
        <w:ind w:right="7" w:firstLine="439"/>
        <w:rPr>
          <w:rFonts w:ascii="宋体" w:hAnsi="宋体" w:eastAsia="宋体" w:cs="宋体"/>
          <w:sz w:val="21"/>
          <w:szCs w:val="21"/>
        </w:rPr>
      </w:pPr>
      <w:r>
        <w:rPr>
          <w:rFonts w:ascii="宋体" w:hAnsi="宋体" w:eastAsia="宋体" w:cs="宋体"/>
          <w:spacing w:val="7"/>
          <w:sz w:val="21"/>
          <w:szCs w:val="21"/>
        </w:rPr>
        <w:t>超细干粉自动灭火装置适用于建筑面积小、相对密</w:t>
      </w:r>
      <w:r>
        <w:rPr>
          <w:rFonts w:ascii="宋体" w:hAnsi="宋体" w:eastAsia="宋体" w:cs="宋体"/>
          <w:spacing w:val="6"/>
          <w:sz w:val="21"/>
          <w:szCs w:val="21"/>
        </w:rPr>
        <w:t>闭的场</w:t>
      </w:r>
      <w:r>
        <w:rPr>
          <w:rFonts w:ascii="宋体" w:hAnsi="宋体" w:eastAsia="宋体" w:cs="宋体"/>
          <w:spacing w:val="2"/>
          <w:sz w:val="21"/>
          <w:szCs w:val="21"/>
        </w:rPr>
        <w:t>所。某品牌常规规格标称保护体积(样品按标准的测试方案得出</w:t>
      </w:r>
    </w:p>
    <w:p>
      <w:pPr>
        <w:spacing w:line="275" w:lineRule="auto"/>
        <w:rPr>
          <w:rFonts w:ascii="宋体" w:hAnsi="宋体" w:eastAsia="宋体" w:cs="宋体"/>
          <w:sz w:val="21"/>
          <w:szCs w:val="21"/>
        </w:rPr>
        <w:sectPr>
          <w:footerReference r:id="rId86" w:type="default"/>
          <w:pgSz w:w="8280" w:h="11850"/>
          <w:pgMar w:top="400" w:right="1209" w:bottom="1370" w:left="1200" w:header="0" w:footer="1097" w:gutter="0"/>
          <w:cols w:space="720" w:num="1"/>
        </w:sectPr>
      </w:pPr>
    </w:p>
    <w:p>
      <w:pPr>
        <w:pStyle w:val="2"/>
        <w:spacing w:line="286" w:lineRule="auto"/>
      </w:pPr>
    </w:p>
    <w:p>
      <w:pPr>
        <w:pStyle w:val="2"/>
        <w:spacing w:line="286" w:lineRule="auto"/>
      </w:pPr>
    </w:p>
    <w:p>
      <w:pPr>
        <w:pStyle w:val="2"/>
        <w:spacing w:line="286" w:lineRule="auto"/>
      </w:pPr>
    </w:p>
    <w:p>
      <w:pPr>
        <w:spacing w:before="61" w:line="219" w:lineRule="auto"/>
        <w:ind w:left="17"/>
        <w:rPr>
          <w:rFonts w:ascii="宋体" w:hAnsi="宋体" w:eastAsia="宋体" w:cs="宋体"/>
          <w:sz w:val="19"/>
          <w:szCs w:val="19"/>
        </w:rPr>
      </w:pPr>
      <w:r>
        <w:rPr>
          <w:rFonts w:ascii="宋体" w:hAnsi="宋体" w:eastAsia="宋体" w:cs="宋体"/>
          <w:b/>
          <w:bCs/>
          <w:spacing w:val="15"/>
          <w:sz w:val="19"/>
          <w:szCs w:val="19"/>
        </w:rPr>
        <w:t>的保护体积)见表1。</w:t>
      </w:r>
    </w:p>
    <w:p>
      <w:pPr>
        <w:spacing w:before="152" w:line="220" w:lineRule="auto"/>
        <w:ind w:left="1237"/>
        <w:rPr>
          <w:rFonts w:ascii="黑体" w:hAnsi="黑体" w:eastAsia="黑体" w:cs="黑体"/>
          <w:sz w:val="19"/>
          <w:szCs w:val="19"/>
        </w:rPr>
      </w:pPr>
      <w:r>
        <w:rPr>
          <w:rFonts w:ascii="黑体" w:hAnsi="黑体" w:eastAsia="黑体" w:cs="黑体"/>
          <w:b/>
          <w:bCs/>
          <w:spacing w:val="-10"/>
          <w:sz w:val="19"/>
          <w:szCs w:val="19"/>
        </w:rPr>
        <w:t>表1超细干粉自动灭火装置标称保护体积</w:t>
      </w:r>
    </w:p>
    <w:p>
      <w:pPr>
        <w:spacing w:line="75" w:lineRule="exact"/>
      </w:pPr>
    </w:p>
    <w:tbl>
      <w:tblPr>
        <w:tblStyle w:val="5"/>
        <w:tblW w:w="5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89"/>
        <w:gridCol w:w="26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189" w:type="dxa"/>
            <w:vAlign w:val="top"/>
          </w:tcPr>
          <w:p>
            <w:pPr>
              <w:pStyle w:val="6"/>
              <w:spacing w:before="76" w:line="214" w:lineRule="auto"/>
              <w:ind w:left="945"/>
              <w:rPr>
                <w:sz w:val="16"/>
                <w:szCs w:val="16"/>
              </w:rPr>
            </w:pPr>
            <w:r>
              <w:rPr>
                <w:spacing w:val="4"/>
                <w:sz w:val="16"/>
                <w:szCs w:val="16"/>
              </w:rPr>
              <w:t>单具干粉计量(</w:t>
            </w:r>
            <w:r>
              <w:rPr>
                <w:sz w:val="16"/>
                <w:szCs w:val="16"/>
              </w:rPr>
              <w:t>kg</w:t>
            </w:r>
            <w:r>
              <w:rPr>
                <w:spacing w:val="4"/>
                <w:sz w:val="16"/>
                <w:szCs w:val="16"/>
              </w:rPr>
              <w:t>)</w:t>
            </w:r>
          </w:p>
        </w:tc>
        <w:tc>
          <w:tcPr>
            <w:tcW w:w="2660" w:type="dxa"/>
            <w:vAlign w:val="top"/>
          </w:tcPr>
          <w:p>
            <w:pPr>
              <w:pStyle w:val="6"/>
              <w:spacing w:before="82" w:line="220" w:lineRule="auto"/>
              <w:ind w:left="646"/>
              <w:rPr>
                <w:sz w:val="16"/>
                <w:szCs w:val="16"/>
              </w:rPr>
            </w:pPr>
            <w:r>
              <w:rPr>
                <w:spacing w:val="11"/>
                <w:sz w:val="16"/>
                <w:szCs w:val="16"/>
              </w:rPr>
              <w:t>标称保护体积(m³)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189" w:type="dxa"/>
            <w:vAlign w:val="top"/>
          </w:tcPr>
          <w:p>
            <w:pPr>
              <w:pStyle w:val="6"/>
              <w:spacing w:before="95" w:line="234" w:lineRule="auto"/>
              <w:ind w:left="1545"/>
              <w:rPr>
                <w:sz w:val="16"/>
                <w:szCs w:val="16"/>
              </w:rPr>
            </w:pPr>
            <w:r>
              <w:rPr>
                <w:sz w:val="16"/>
                <w:szCs w:val="16"/>
              </w:rPr>
              <w:t>4</w:t>
            </w:r>
          </w:p>
        </w:tc>
        <w:tc>
          <w:tcPr>
            <w:tcW w:w="2660" w:type="dxa"/>
            <w:vAlign w:val="top"/>
          </w:tcPr>
          <w:p>
            <w:pPr>
              <w:pStyle w:val="6"/>
              <w:spacing w:before="95" w:line="234" w:lineRule="auto"/>
              <w:ind w:left="1245"/>
              <w:rPr>
                <w:sz w:val="16"/>
                <w:szCs w:val="16"/>
              </w:rPr>
            </w:pPr>
            <w:r>
              <w:rPr>
                <w:spacing w:val="-3"/>
                <w:sz w:val="16"/>
                <w:szCs w:val="16"/>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189" w:type="dxa"/>
            <w:vAlign w:val="top"/>
          </w:tcPr>
          <w:p>
            <w:pPr>
              <w:pStyle w:val="6"/>
              <w:spacing w:before="97" w:line="231" w:lineRule="auto"/>
              <w:ind w:left="1545"/>
              <w:rPr>
                <w:sz w:val="16"/>
                <w:szCs w:val="16"/>
              </w:rPr>
            </w:pPr>
            <w:r>
              <w:rPr>
                <w:sz w:val="16"/>
                <w:szCs w:val="16"/>
              </w:rPr>
              <w:t>6</w:t>
            </w:r>
          </w:p>
        </w:tc>
        <w:tc>
          <w:tcPr>
            <w:tcW w:w="2660" w:type="dxa"/>
            <w:vAlign w:val="top"/>
          </w:tcPr>
          <w:p>
            <w:pPr>
              <w:pStyle w:val="6"/>
              <w:spacing w:before="97" w:line="231" w:lineRule="auto"/>
              <w:ind w:left="1245"/>
              <w:rPr>
                <w:sz w:val="16"/>
                <w:szCs w:val="16"/>
              </w:rPr>
            </w:pPr>
            <w:r>
              <w:rPr>
                <w:spacing w:val="-2"/>
                <w:sz w:val="16"/>
                <w:szCs w:val="16"/>
              </w:rPr>
              <w:t>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189" w:type="dxa"/>
            <w:vAlign w:val="top"/>
          </w:tcPr>
          <w:p>
            <w:pPr>
              <w:pStyle w:val="6"/>
              <w:spacing w:before="99" w:line="229" w:lineRule="auto"/>
              <w:ind w:left="1545"/>
              <w:rPr>
                <w:sz w:val="16"/>
                <w:szCs w:val="16"/>
              </w:rPr>
            </w:pPr>
            <w:r>
              <w:rPr>
                <w:sz w:val="16"/>
                <w:szCs w:val="16"/>
              </w:rPr>
              <w:t>8</w:t>
            </w:r>
          </w:p>
        </w:tc>
        <w:tc>
          <w:tcPr>
            <w:tcW w:w="2660" w:type="dxa"/>
            <w:vAlign w:val="top"/>
          </w:tcPr>
          <w:p>
            <w:pPr>
              <w:pStyle w:val="6"/>
              <w:spacing w:before="99" w:line="229" w:lineRule="auto"/>
              <w:ind w:left="1245"/>
              <w:rPr>
                <w:sz w:val="16"/>
                <w:szCs w:val="16"/>
              </w:rPr>
            </w:pPr>
            <w:r>
              <w:rPr>
                <w:spacing w:val="-3"/>
                <w:sz w:val="16"/>
                <w:szCs w:val="16"/>
              </w:rPr>
              <w:t>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3189" w:type="dxa"/>
            <w:vAlign w:val="top"/>
          </w:tcPr>
          <w:p>
            <w:pPr>
              <w:pStyle w:val="6"/>
              <w:spacing w:before="101" w:line="232" w:lineRule="auto"/>
              <w:ind w:left="1505"/>
              <w:rPr>
                <w:sz w:val="16"/>
                <w:szCs w:val="16"/>
              </w:rPr>
            </w:pPr>
            <w:r>
              <w:rPr>
                <w:spacing w:val="-5"/>
                <w:sz w:val="16"/>
                <w:szCs w:val="16"/>
              </w:rPr>
              <w:t>10</w:t>
            </w:r>
          </w:p>
        </w:tc>
        <w:tc>
          <w:tcPr>
            <w:tcW w:w="2660" w:type="dxa"/>
            <w:vAlign w:val="top"/>
          </w:tcPr>
          <w:p>
            <w:pPr>
              <w:pStyle w:val="6"/>
              <w:spacing w:before="101" w:line="232" w:lineRule="auto"/>
              <w:ind w:left="1245"/>
              <w:rPr>
                <w:sz w:val="16"/>
                <w:szCs w:val="16"/>
              </w:rPr>
            </w:pPr>
            <w:r>
              <w:rPr>
                <w:spacing w:val="-3"/>
                <w:sz w:val="16"/>
                <w:szCs w:val="16"/>
              </w:rPr>
              <w:t>70</w:t>
            </w:r>
          </w:p>
        </w:tc>
      </w:tr>
    </w:tbl>
    <w:p>
      <w:pPr>
        <w:pStyle w:val="2"/>
      </w:pPr>
    </w:p>
    <w:p>
      <w:pPr>
        <w:sectPr>
          <w:footerReference r:id="rId87" w:type="default"/>
          <w:pgSz w:w="8280" w:h="11850"/>
          <w:pgMar w:top="400" w:right="1205" w:bottom="1376" w:left="1214" w:header="0" w:footer="1064" w:gutter="0"/>
          <w:cols w:space="720" w:num="1"/>
        </w:sectPr>
      </w:pPr>
    </w:p>
    <w:p>
      <w:pPr>
        <w:pStyle w:val="2"/>
        <w:spacing w:line="271" w:lineRule="auto"/>
      </w:pPr>
    </w:p>
    <w:p>
      <w:pPr>
        <w:pStyle w:val="2"/>
        <w:spacing w:line="271" w:lineRule="auto"/>
      </w:pPr>
    </w:p>
    <w:p>
      <w:pPr>
        <w:pStyle w:val="2"/>
        <w:spacing w:line="271" w:lineRule="auto"/>
      </w:pPr>
    </w:p>
    <w:p>
      <w:pPr>
        <w:pStyle w:val="2"/>
        <w:spacing w:line="271" w:lineRule="auto"/>
      </w:pPr>
    </w:p>
    <w:p>
      <w:pPr>
        <w:pStyle w:val="2"/>
        <w:spacing w:line="271" w:lineRule="auto"/>
      </w:pPr>
    </w:p>
    <w:p>
      <w:pPr>
        <w:spacing w:before="91" w:line="221" w:lineRule="auto"/>
        <w:ind w:left="2143"/>
        <w:rPr>
          <w:rFonts w:ascii="黑体" w:hAnsi="黑体" w:eastAsia="黑体" w:cs="黑体"/>
          <w:sz w:val="28"/>
          <w:szCs w:val="28"/>
        </w:rPr>
      </w:pPr>
      <w:bookmarkStart w:id="72" w:name="bookmark128"/>
      <w:bookmarkEnd w:id="72"/>
      <w:bookmarkStart w:id="73" w:name="bookmark108"/>
      <w:bookmarkEnd w:id="73"/>
      <w:bookmarkStart w:id="74" w:name="bookmark129"/>
      <w:bookmarkEnd w:id="74"/>
      <w:bookmarkStart w:id="75" w:name="bookmark109"/>
      <w:bookmarkEnd w:id="75"/>
      <w:r>
        <w:rPr>
          <w:rFonts w:ascii="宋体" w:hAnsi="宋体" w:eastAsia="宋体" w:cs="宋体"/>
          <w:b/>
          <w:bCs/>
          <w:spacing w:val="-7"/>
          <w:sz w:val="28"/>
          <w:szCs w:val="28"/>
        </w:rPr>
        <w:t>4</w:t>
      </w:r>
      <w:r>
        <w:rPr>
          <w:rFonts w:ascii="黑体" w:hAnsi="黑体" w:eastAsia="黑体" w:cs="黑体"/>
          <w:b/>
          <w:bCs/>
          <w:spacing w:val="-7"/>
          <w:sz w:val="28"/>
          <w:szCs w:val="28"/>
        </w:rPr>
        <w:t>消防给水</w:t>
      </w:r>
    </w:p>
    <w:p>
      <w:pPr>
        <w:pStyle w:val="2"/>
        <w:spacing w:line="285" w:lineRule="auto"/>
      </w:pPr>
    </w:p>
    <w:p>
      <w:pPr>
        <w:pStyle w:val="2"/>
        <w:spacing w:line="286" w:lineRule="auto"/>
      </w:pPr>
    </w:p>
    <w:p>
      <w:pPr>
        <w:spacing w:before="69" w:line="221" w:lineRule="auto"/>
        <w:ind w:left="2232"/>
        <w:rPr>
          <w:rFonts w:ascii="黑体" w:hAnsi="黑体" w:eastAsia="黑体" w:cs="黑体"/>
          <w:sz w:val="21"/>
          <w:szCs w:val="21"/>
        </w:rPr>
      </w:pPr>
      <w:r>
        <w:rPr>
          <w:rFonts w:ascii="宋体" w:hAnsi="宋体" w:eastAsia="宋体" w:cs="宋体"/>
          <w:b/>
          <w:bCs/>
          <w:spacing w:val="-5"/>
          <w:sz w:val="21"/>
          <w:szCs w:val="21"/>
        </w:rPr>
        <w:t>4.1</w:t>
      </w:r>
      <w:r>
        <w:rPr>
          <w:rFonts w:ascii="黑体" w:hAnsi="黑体" w:eastAsia="黑体" w:cs="黑体"/>
          <w:b/>
          <w:bCs/>
          <w:spacing w:val="-5"/>
          <w:sz w:val="21"/>
          <w:szCs w:val="21"/>
        </w:rPr>
        <w:t>一般规定</w:t>
      </w:r>
    </w:p>
    <w:p>
      <w:pPr>
        <w:pStyle w:val="2"/>
        <w:spacing w:line="333" w:lineRule="auto"/>
      </w:pPr>
    </w:p>
    <w:p>
      <w:pPr>
        <w:spacing w:before="69" w:line="275" w:lineRule="auto"/>
        <w:jc w:val="both"/>
        <w:rPr>
          <w:rFonts w:ascii="宋体" w:hAnsi="宋体" w:eastAsia="宋体" w:cs="宋体"/>
          <w:sz w:val="21"/>
          <w:szCs w:val="21"/>
        </w:rPr>
      </w:pPr>
      <w:r>
        <w:rPr>
          <w:rFonts w:ascii="宋体" w:hAnsi="宋体" w:eastAsia="宋体" w:cs="宋体"/>
          <w:spacing w:val="5"/>
          <w:sz w:val="21"/>
          <w:szCs w:val="21"/>
        </w:rPr>
        <w:t>4.1.1上海地区城市中心城镇给水管网已基本做到环状供水，</w:t>
      </w:r>
      <w:r>
        <w:rPr>
          <w:rFonts w:ascii="宋体" w:hAnsi="宋体" w:eastAsia="宋体" w:cs="宋体"/>
          <w:spacing w:val="1"/>
          <w:sz w:val="21"/>
          <w:szCs w:val="21"/>
        </w:rPr>
        <w:t>消防水源可靠性较高。针对本市城市中心的城镇给水管网特点，</w:t>
      </w:r>
      <w:r>
        <w:rPr>
          <w:rFonts w:ascii="宋体" w:hAnsi="宋体" w:eastAsia="宋体" w:cs="宋体"/>
          <w:spacing w:val="-3"/>
          <w:sz w:val="21"/>
          <w:szCs w:val="21"/>
        </w:rPr>
        <w:t>采用城镇给水作为消防水源是合理的。</w:t>
      </w:r>
    </w:p>
    <w:p>
      <w:pPr>
        <w:spacing w:line="279" w:lineRule="auto"/>
        <w:ind w:right="68" w:firstLine="439"/>
        <w:jc w:val="both"/>
        <w:rPr>
          <w:rFonts w:ascii="宋体" w:hAnsi="宋体" w:eastAsia="宋体" w:cs="宋体"/>
          <w:sz w:val="21"/>
          <w:szCs w:val="21"/>
        </w:rPr>
      </w:pPr>
      <w:r>
        <w:rPr>
          <w:rFonts w:ascii="宋体" w:hAnsi="宋体" w:eastAsia="宋体" w:cs="宋体"/>
          <w:spacing w:val="7"/>
          <w:sz w:val="21"/>
          <w:szCs w:val="21"/>
        </w:rPr>
        <w:t>市政供水条件薄弱地区的建设工程项目应根据所在区域的</w:t>
      </w:r>
      <w:r>
        <w:rPr>
          <w:rFonts w:ascii="宋体" w:hAnsi="宋体" w:eastAsia="宋体" w:cs="宋体"/>
          <w:spacing w:val="-2"/>
          <w:sz w:val="21"/>
          <w:szCs w:val="21"/>
        </w:rPr>
        <w:t>给水管网供水情况，确定消防给水水源。当给水管网供水能力无法满足室内、室外消防用水量时，需要采用天然水源或消防水池供水。</w:t>
      </w:r>
    </w:p>
    <w:p>
      <w:pPr>
        <w:spacing w:before="7" w:line="265" w:lineRule="auto"/>
        <w:ind w:right="65"/>
        <w:rPr>
          <w:rFonts w:ascii="宋体" w:hAnsi="宋体" w:eastAsia="宋体" w:cs="宋体"/>
          <w:sz w:val="21"/>
          <w:szCs w:val="21"/>
        </w:rPr>
      </w:pPr>
      <w:r>
        <w:rPr>
          <w:rFonts w:ascii="Times New Roman" w:hAnsi="Times New Roman" w:eastAsia="Times New Roman" w:cs="Times New Roman"/>
          <w:spacing w:val="-7"/>
          <w:sz w:val="21"/>
          <w:szCs w:val="21"/>
        </w:rPr>
        <w:t>4.1.2</w:t>
      </w:r>
      <w:r>
        <w:rPr>
          <w:rFonts w:ascii="宋体" w:hAnsi="宋体" w:eastAsia="宋体" w:cs="宋体"/>
          <w:spacing w:val="-7"/>
          <w:sz w:val="21"/>
          <w:szCs w:val="21"/>
        </w:rPr>
        <w:t>现行行业标准《二次供水工程技术规程》</w:t>
      </w:r>
      <w:r>
        <w:rPr>
          <w:rFonts w:ascii="Times New Roman" w:hAnsi="Times New Roman" w:eastAsia="Times New Roman" w:cs="Times New Roman"/>
          <w:spacing w:val="-7"/>
          <w:sz w:val="21"/>
          <w:szCs w:val="21"/>
        </w:rPr>
        <w:t>CJJ140</w:t>
      </w:r>
      <w:r>
        <w:rPr>
          <w:rFonts w:ascii="宋体" w:hAnsi="宋体" w:eastAsia="宋体" w:cs="宋体"/>
          <w:spacing w:val="-7"/>
          <w:sz w:val="21"/>
          <w:szCs w:val="21"/>
        </w:rPr>
        <w:t>规定“二</w:t>
      </w:r>
      <w:r>
        <w:rPr>
          <w:rFonts w:ascii="宋体" w:hAnsi="宋体" w:eastAsia="宋体" w:cs="宋体"/>
          <w:spacing w:val="-5"/>
          <w:sz w:val="21"/>
          <w:szCs w:val="21"/>
        </w:rPr>
        <w:t>次供水设施应独立设置，并应有建筑围护结构”,明确“二次</w:t>
      </w:r>
      <w:r>
        <w:rPr>
          <w:rFonts w:ascii="宋体" w:hAnsi="宋体" w:eastAsia="宋体" w:cs="宋体"/>
          <w:spacing w:val="-6"/>
          <w:sz w:val="21"/>
          <w:szCs w:val="21"/>
        </w:rPr>
        <w:t>供水</w:t>
      </w:r>
      <w:r>
        <w:rPr>
          <w:rFonts w:ascii="宋体" w:hAnsi="宋体" w:eastAsia="宋体" w:cs="宋体"/>
          <w:spacing w:val="-9"/>
          <w:sz w:val="21"/>
          <w:szCs w:val="21"/>
        </w:rPr>
        <w:t>设施不得与再生水、消防供水、供热空调等系统直接连接”。现行</w:t>
      </w:r>
      <w:r>
        <w:rPr>
          <w:rFonts w:ascii="宋体" w:hAnsi="宋体" w:eastAsia="宋体" w:cs="宋体"/>
          <w:spacing w:val="9"/>
          <w:sz w:val="21"/>
          <w:szCs w:val="21"/>
        </w:rPr>
        <w:t>上海市工程建设规范《住宅二次供水技术标准》</w:t>
      </w:r>
      <w:r>
        <w:rPr>
          <w:rFonts w:ascii="Times New Roman" w:hAnsi="Times New Roman" w:eastAsia="Times New Roman" w:cs="Times New Roman"/>
          <w:sz w:val="21"/>
          <w:szCs w:val="21"/>
        </w:rPr>
        <w:t>DG</w:t>
      </w:r>
      <w:r>
        <w:rPr>
          <w:rFonts w:ascii="Times New Roman" w:hAnsi="Times New Roman" w:eastAsia="Times New Roman" w:cs="Times New Roman"/>
          <w:spacing w:val="9"/>
          <w:sz w:val="21"/>
          <w:szCs w:val="21"/>
        </w:rPr>
        <w:t>/</w:t>
      </w:r>
      <w:r>
        <w:rPr>
          <w:rFonts w:ascii="Times New Roman" w:hAnsi="Times New Roman" w:eastAsia="Times New Roman" w:cs="Times New Roman"/>
          <w:sz w:val="21"/>
          <w:szCs w:val="21"/>
        </w:rPr>
        <w:t>TJ</w:t>
      </w:r>
      <w:r>
        <w:rPr>
          <w:rFonts w:ascii="Times New Roman" w:hAnsi="Times New Roman" w:eastAsia="Times New Roman" w:cs="Times New Roman"/>
          <w:spacing w:val="9"/>
          <w:sz w:val="21"/>
          <w:szCs w:val="21"/>
        </w:rPr>
        <w:t>08—</w:t>
      </w:r>
      <w:r>
        <w:rPr>
          <w:rFonts w:ascii="宋体" w:hAnsi="宋体" w:eastAsia="宋体" w:cs="宋体"/>
          <w:spacing w:val="-1"/>
          <w:sz w:val="21"/>
          <w:szCs w:val="21"/>
        </w:rPr>
        <w:t>2065规定，生活用水水箱应与其他用水水箱分开设置。故本条明</w:t>
      </w:r>
      <w:r>
        <w:rPr>
          <w:rFonts w:ascii="宋体" w:hAnsi="宋体" w:eastAsia="宋体" w:cs="宋体"/>
          <w:spacing w:val="-2"/>
          <w:sz w:val="21"/>
          <w:szCs w:val="21"/>
        </w:rPr>
        <w:t>确室内消防给水系统应与生活、生产给水系统分开设置。经水泵加压后的供水管在室外埋地敷设时，也应按室内管道考虑，并应按本条规定执行。</w:t>
      </w:r>
    </w:p>
    <w:p>
      <w:pPr>
        <w:spacing w:before="120" w:line="261" w:lineRule="auto"/>
        <w:ind w:right="96"/>
        <w:rPr>
          <w:rFonts w:ascii="宋体" w:hAnsi="宋体" w:eastAsia="宋体" w:cs="宋体"/>
          <w:sz w:val="21"/>
          <w:szCs w:val="21"/>
        </w:rPr>
      </w:pPr>
      <w:r>
        <w:rPr>
          <w:rFonts w:ascii="宋体" w:hAnsi="宋体" w:eastAsia="宋体" w:cs="宋体"/>
          <w:spacing w:val="-5"/>
          <w:sz w:val="21"/>
          <w:szCs w:val="21"/>
        </w:rPr>
        <w:t>4.1.3建筑小区的室外生活、消防合用管道时，设计流量计算应</w:t>
      </w:r>
      <w:r>
        <w:rPr>
          <w:rFonts w:ascii="宋体" w:hAnsi="宋体" w:eastAsia="宋体" w:cs="宋体"/>
          <w:spacing w:val="-7"/>
          <w:sz w:val="21"/>
          <w:szCs w:val="21"/>
        </w:rPr>
        <w:t>符合现行国家标准《建筑给水排水设计标准》</w:t>
      </w:r>
      <w:r>
        <w:rPr>
          <w:rFonts w:ascii="Times New Roman" w:hAnsi="Times New Roman" w:eastAsia="Times New Roman" w:cs="Times New Roman"/>
          <w:spacing w:val="-7"/>
          <w:sz w:val="21"/>
          <w:szCs w:val="21"/>
        </w:rPr>
        <w:t>GB5001</w:t>
      </w:r>
      <w:r>
        <w:rPr>
          <w:rFonts w:ascii="Times New Roman" w:hAnsi="Times New Roman" w:eastAsia="Times New Roman" w:cs="Times New Roman"/>
          <w:spacing w:val="-8"/>
          <w:sz w:val="21"/>
          <w:szCs w:val="21"/>
        </w:rPr>
        <w:t>5</w:t>
      </w:r>
      <w:r>
        <w:rPr>
          <w:rFonts w:ascii="宋体" w:hAnsi="宋体" w:eastAsia="宋体" w:cs="宋体"/>
          <w:spacing w:val="-8"/>
          <w:sz w:val="21"/>
          <w:szCs w:val="21"/>
        </w:rPr>
        <w:t>、《消防给</w:t>
      </w:r>
      <w:r>
        <w:rPr>
          <w:rFonts w:ascii="宋体" w:hAnsi="宋体" w:eastAsia="宋体" w:cs="宋体"/>
          <w:spacing w:val="-5"/>
          <w:sz w:val="21"/>
          <w:szCs w:val="21"/>
        </w:rPr>
        <w:t>水及消火栓系统技术规范》</w:t>
      </w:r>
      <w:r>
        <w:rPr>
          <w:rFonts w:ascii="Times New Roman" w:hAnsi="Times New Roman" w:eastAsia="Times New Roman" w:cs="Times New Roman"/>
          <w:spacing w:val="-5"/>
          <w:sz w:val="21"/>
          <w:szCs w:val="21"/>
        </w:rPr>
        <w:t>GB50974</w:t>
      </w:r>
      <w:r>
        <w:rPr>
          <w:rFonts w:ascii="宋体" w:hAnsi="宋体" w:eastAsia="宋体" w:cs="宋体"/>
          <w:spacing w:val="-5"/>
          <w:sz w:val="21"/>
          <w:szCs w:val="21"/>
        </w:rPr>
        <w:t>的相关规定。</w:t>
      </w:r>
    </w:p>
    <w:p>
      <w:pPr>
        <w:pStyle w:val="2"/>
        <w:spacing w:line="315" w:lineRule="auto"/>
      </w:pPr>
    </w:p>
    <w:p>
      <w:pPr>
        <w:spacing w:before="69" w:line="221" w:lineRule="auto"/>
        <w:ind w:left="2253"/>
        <w:rPr>
          <w:rFonts w:ascii="黑体" w:hAnsi="黑体" w:eastAsia="黑体" w:cs="黑体"/>
          <w:sz w:val="21"/>
          <w:szCs w:val="21"/>
        </w:rPr>
      </w:pPr>
      <w:r>
        <w:rPr>
          <w:rFonts w:ascii="宋体" w:hAnsi="宋体" w:eastAsia="宋体" w:cs="宋体"/>
          <w:b/>
          <w:bCs/>
          <w:spacing w:val="-5"/>
          <w:sz w:val="21"/>
          <w:szCs w:val="21"/>
        </w:rPr>
        <w:t>4.2</w:t>
      </w:r>
      <w:r>
        <w:rPr>
          <w:rFonts w:ascii="黑体" w:hAnsi="黑体" w:eastAsia="黑体" w:cs="黑体"/>
          <w:b/>
          <w:bCs/>
          <w:spacing w:val="-5"/>
          <w:sz w:val="21"/>
          <w:szCs w:val="21"/>
        </w:rPr>
        <w:t>消防水源</w:t>
      </w:r>
    </w:p>
    <w:p>
      <w:pPr>
        <w:pStyle w:val="2"/>
        <w:spacing w:line="321" w:lineRule="auto"/>
      </w:pPr>
    </w:p>
    <w:p>
      <w:pPr>
        <w:spacing w:before="69" w:line="219" w:lineRule="auto"/>
        <w:ind w:left="3"/>
        <w:rPr>
          <w:rFonts w:ascii="宋体" w:hAnsi="宋体" w:eastAsia="宋体" w:cs="宋体"/>
          <w:sz w:val="21"/>
          <w:szCs w:val="21"/>
        </w:rPr>
      </w:pPr>
      <w:r>
        <w:rPr>
          <w:rFonts w:ascii="宋体" w:hAnsi="宋体" w:eastAsia="宋体" w:cs="宋体"/>
          <w:b/>
          <w:bCs/>
          <w:spacing w:val="9"/>
          <w:sz w:val="21"/>
          <w:szCs w:val="21"/>
        </w:rPr>
        <w:t>4.2.1</w:t>
      </w:r>
      <w:r>
        <w:rPr>
          <w:rFonts w:ascii="宋体" w:hAnsi="宋体" w:eastAsia="宋体" w:cs="宋体"/>
          <w:spacing w:val="9"/>
          <w:sz w:val="21"/>
          <w:szCs w:val="21"/>
        </w:rPr>
        <w:t>本条规定了两路供水的基本性能及可靠性要求。根据</w:t>
      </w:r>
    </w:p>
    <w:p>
      <w:pPr>
        <w:spacing w:line="219" w:lineRule="auto"/>
        <w:rPr>
          <w:rFonts w:ascii="宋体" w:hAnsi="宋体" w:eastAsia="宋体" w:cs="宋体"/>
          <w:sz w:val="21"/>
          <w:szCs w:val="21"/>
        </w:rPr>
        <w:sectPr>
          <w:footerReference r:id="rId88" w:type="default"/>
          <w:pgSz w:w="8280" w:h="11850"/>
          <w:pgMar w:top="400" w:right="1145" w:bottom="1380" w:left="1200" w:header="0" w:footer="1107" w:gutter="0"/>
          <w:cols w:space="720" w:num="1"/>
        </w:sectPr>
      </w:pPr>
    </w:p>
    <w:p>
      <w:pPr>
        <w:pStyle w:val="2"/>
        <w:spacing w:line="280" w:lineRule="auto"/>
      </w:pPr>
    </w:p>
    <w:p>
      <w:pPr>
        <w:pStyle w:val="2"/>
        <w:spacing w:line="280" w:lineRule="auto"/>
      </w:pPr>
    </w:p>
    <w:p>
      <w:pPr>
        <w:pStyle w:val="2"/>
        <w:spacing w:line="280" w:lineRule="auto"/>
      </w:pPr>
    </w:p>
    <w:p>
      <w:pPr>
        <w:spacing w:before="69" w:line="280" w:lineRule="auto"/>
        <w:ind w:left="103" w:hanging="104"/>
        <w:jc w:val="both"/>
        <w:rPr>
          <w:rFonts w:ascii="宋体" w:hAnsi="宋体" w:eastAsia="宋体" w:cs="宋体"/>
          <w:sz w:val="21"/>
          <w:szCs w:val="21"/>
        </w:rPr>
      </w:pPr>
      <w:r>
        <w:rPr>
          <w:rFonts w:ascii="宋体" w:hAnsi="宋体" w:eastAsia="宋体" w:cs="宋体"/>
          <w:spacing w:val="2"/>
          <w:sz w:val="21"/>
          <w:szCs w:val="21"/>
        </w:rPr>
        <w:t>《上海市供水规划(2019—2035年)》,上海规划形成“1网、2区、39厂”的供水总体布局，构成了具有上海特色的供水管网体系。</w:t>
      </w:r>
      <w:r>
        <w:rPr>
          <w:rFonts w:ascii="宋体" w:hAnsi="宋体" w:eastAsia="宋体" w:cs="宋体"/>
          <w:spacing w:val="-1"/>
          <w:sz w:val="21"/>
          <w:szCs w:val="21"/>
        </w:rPr>
        <w:t>结合多年的工程项目实践，当满足下列规定之一时，也可视为两</w:t>
      </w:r>
      <w:r>
        <w:rPr>
          <w:rFonts w:ascii="宋体" w:hAnsi="宋体" w:eastAsia="宋体" w:cs="宋体"/>
          <w:spacing w:val="-7"/>
          <w:sz w:val="21"/>
          <w:szCs w:val="21"/>
        </w:rPr>
        <w:t>路供水：</w:t>
      </w:r>
    </w:p>
    <w:p>
      <w:pPr>
        <w:spacing w:line="219" w:lineRule="auto"/>
        <w:ind w:left="524"/>
        <w:rPr>
          <w:rFonts w:ascii="宋体" w:hAnsi="宋体" w:eastAsia="宋体" w:cs="宋体"/>
          <w:sz w:val="21"/>
          <w:szCs w:val="21"/>
        </w:rPr>
      </w:pPr>
      <w:r>
        <w:rPr>
          <w:rFonts w:ascii="宋体" w:hAnsi="宋体" w:eastAsia="宋体" w:cs="宋体"/>
          <w:spacing w:val="-1"/>
          <w:sz w:val="21"/>
          <w:szCs w:val="21"/>
        </w:rPr>
        <w:t>1在同一条道路上由两根城镇给水管道分别接入引入管。</w:t>
      </w:r>
    </w:p>
    <w:p>
      <w:pPr>
        <w:spacing w:before="69" w:line="261" w:lineRule="auto"/>
        <w:ind w:left="104" w:right="96" w:firstLine="419"/>
        <w:rPr>
          <w:rFonts w:ascii="宋体" w:hAnsi="宋体" w:eastAsia="宋体" w:cs="宋体"/>
          <w:sz w:val="21"/>
          <w:szCs w:val="21"/>
        </w:rPr>
      </w:pPr>
      <w:r>
        <w:rPr>
          <w:rFonts w:ascii="宋体" w:hAnsi="宋体" w:eastAsia="宋体" w:cs="宋体"/>
          <w:spacing w:val="3"/>
          <w:sz w:val="21"/>
          <w:szCs w:val="21"/>
        </w:rPr>
        <w:t>2当两根引入管之间的城镇环状给水管道上具备加设检修</w:t>
      </w:r>
      <w:r>
        <w:rPr>
          <w:rFonts w:ascii="宋体" w:hAnsi="宋体" w:eastAsia="宋体" w:cs="宋体"/>
          <w:spacing w:val="-1"/>
          <w:sz w:val="21"/>
          <w:szCs w:val="21"/>
        </w:rPr>
        <w:t>阀门的条件时，在同一条道路上从该给水管道检修阀门两侧分别</w:t>
      </w:r>
      <w:r>
        <w:rPr>
          <w:rFonts w:ascii="宋体" w:hAnsi="宋体" w:eastAsia="宋体" w:cs="宋体"/>
          <w:spacing w:val="-4"/>
          <w:sz w:val="21"/>
          <w:szCs w:val="21"/>
        </w:rPr>
        <w:t>接入一根引入管。</w:t>
      </w:r>
    </w:p>
    <w:p>
      <w:pPr>
        <w:spacing w:before="80" w:line="274" w:lineRule="auto"/>
        <w:ind w:left="104" w:firstLine="419"/>
        <w:jc w:val="both"/>
        <w:rPr>
          <w:rFonts w:ascii="宋体" w:hAnsi="宋体" w:eastAsia="宋体" w:cs="宋体"/>
          <w:sz w:val="21"/>
          <w:szCs w:val="21"/>
        </w:rPr>
      </w:pPr>
      <w:r>
        <w:rPr>
          <w:rFonts w:ascii="宋体" w:hAnsi="宋体" w:eastAsia="宋体" w:cs="宋体"/>
          <w:spacing w:val="3"/>
          <w:sz w:val="21"/>
          <w:szCs w:val="21"/>
        </w:rPr>
        <w:t>在环状管网的同一侧管道通过检修阀门分隔成不</w:t>
      </w:r>
      <w:r>
        <w:rPr>
          <w:rFonts w:ascii="宋体" w:hAnsi="宋体" w:eastAsia="宋体" w:cs="宋体"/>
          <w:spacing w:val="2"/>
          <w:sz w:val="21"/>
          <w:szCs w:val="21"/>
        </w:rPr>
        <w:t>同的管段，</w:t>
      </w:r>
      <w:r>
        <w:rPr>
          <w:rFonts w:ascii="宋体" w:hAnsi="宋体" w:eastAsia="宋体" w:cs="宋体"/>
          <w:sz w:val="21"/>
          <w:szCs w:val="21"/>
        </w:rPr>
        <w:t>在检修阀门两端分别设引入管，可以避免市</w:t>
      </w:r>
      <w:r>
        <w:rPr>
          <w:rFonts w:ascii="宋体" w:hAnsi="宋体" w:eastAsia="宋体" w:cs="宋体"/>
          <w:spacing w:val="-1"/>
          <w:sz w:val="21"/>
          <w:szCs w:val="21"/>
        </w:rPr>
        <w:t>政管网局部管路检修</w:t>
      </w:r>
      <w:r>
        <w:rPr>
          <w:rFonts w:ascii="宋体" w:hAnsi="宋体" w:eastAsia="宋体" w:cs="宋体"/>
          <w:spacing w:val="-2"/>
          <w:sz w:val="21"/>
          <w:szCs w:val="21"/>
        </w:rPr>
        <w:t>或中断导致无水情况的发生。</w:t>
      </w:r>
    </w:p>
    <w:p>
      <w:pPr>
        <w:spacing w:before="14" w:line="219" w:lineRule="auto"/>
        <w:ind w:left="105"/>
        <w:rPr>
          <w:rFonts w:ascii="宋体" w:hAnsi="宋体" w:eastAsia="宋体" w:cs="宋体"/>
          <w:sz w:val="21"/>
          <w:szCs w:val="21"/>
        </w:rPr>
      </w:pPr>
      <w:r>
        <w:rPr>
          <w:rFonts w:ascii="Times New Roman" w:hAnsi="Times New Roman" w:eastAsia="Times New Roman" w:cs="Times New Roman"/>
          <w:b/>
          <w:bCs/>
          <w:spacing w:val="1"/>
          <w:sz w:val="21"/>
          <w:szCs w:val="21"/>
        </w:rPr>
        <w:t>4.2.2</w:t>
      </w:r>
      <w:r>
        <w:rPr>
          <w:rFonts w:ascii="宋体" w:hAnsi="宋体" w:eastAsia="宋体" w:cs="宋体"/>
          <w:spacing w:val="1"/>
          <w:sz w:val="21"/>
          <w:szCs w:val="21"/>
        </w:rPr>
        <w:t>本条对工程项目应设消防水池的情况作出了规定。</w:t>
      </w:r>
    </w:p>
    <w:p>
      <w:pPr>
        <w:spacing w:before="71" w:line="274" w:lineRule="auto"/>
        <w:ind w:left="105" w:right="87" w:firstLine="419"/>
        <w:jc w:val="both"/>
        <w:rPr>
          <w:rFonts w:ascii="宋体" w:hAnsi="宋体" w:eastAsia="宋体" w:cs="宋体"/>
          <w:sz w:val="21"/>
          <w:szCs w:val="21"/>
        </w:rPr>
      </w:pPr>
      <w:r>
        <w:rPr>
          <w:rFonts w:ascii="宋体" w:hAnsi="宋体" w:eastAsia="宋体" w:cs="宋体"/>
          <w:spacing w:val="6"/>
          <w:sz w:val="21"/>
          <w:szCs w:val="21"/>
        </w:rPr>
        <w:t>第1款生产用水指民用建筑生活用水量以外的给水，如</w:t>
      </w:r>
      <w:r>
        <w:rPr>
          <w:rFonts w:ascii="宋体" w:hAnsi="宋体" w:eastAsia="宋体" w:cs="宋体"/>
          <w:spacing w:val="7"/>
          <w:sz w:val="21"/>
          <w:szCs w:val="21"/>
        </w:rPr>
        <w:t>循环冷却水给水等。消防水池的有效容积设计及计算应符</w:t>
      </w:r>
      <w:r>
        <w:rPr>
          <w:rFonts w:ascii="宋体" w:hAnsi="宋体" w:eastAsia="宋体" w:cs="宋体"/>
          <w:spacing w:val="6"/>
          <w:sz w:val="21"/>
          <w:szCs w:val="21"/>
        </w:rPr>
        <w:t>合现</w:t>
      </w:r>
      <w:r>
        <w:rPr>
          <w:rFonts w:ascii="宋体" w:hAnsi="宋体" w:eastAsia="宋体" w:cs="宋体"/>
          <w:spacing w:val="-1"/>
          <w:sz w:val="21"/>
          <w:szCs w:val="21"/>
        </w:rPr>
        <w:t>行国家标准《消防给水及消火栓系统技术规范》</w:t>
      </w:r>
      <w:r>
        <w:rPr>
          <w:rFonts w:ascii="Times New Roman" w:hAnsi="Times New Roman" w:eastAsia="Times New Roman" w:cs="Times New Roman"/>
          <w:spacing w:val="-1"/>
          <w:sz w:val="21"/>
          <w:szCs w:val="21"/>
        </w:rPr>
        <w:t>GB50974</w:t>
      </w:r>
      <w:r>
        <w:rPr>
          <w:rFonts w:ascii="宋体" w:hAnsi="宋体" w:eastAsia="宋体" w:cs="宋体"/>
          <w:spacing w:val="-1"/>
          <w:sz w:val="21"/>
          <w:szCs w:val="21"/>
        </w:rPr>
        <w:t>的相</w:t>
      </w:r>
      <w:r>
        <w:rPr>
          <w:rFonts w:ascii="宋体" w:hAnsi="宋体" w:eastAsia="宋体" w:cs="宋体"/>
          <w:spacing w:val="-3"/>
          <w:sz w:val="21"/>
          <w:szCs w:val="21"/>
        </w:rPr>
        <w:t>关规定。</w:t>
      </w:r>
    </w:p>
    <w:p>
      <w:pPr>
        <w:spacing w:before="24" w:line="272" w:lineRule="auto"/>
        <w:ind w:right="83" w:firstLine="524"/>
        <w:rPr>
          <w:rFonts w:ascii="宋体" w:hAnsi="宋体" w:eastAsia="宋体" w:cs="宋体"/>
          <w:sz w:val="21"/>
          <w:szCs w:val="21"/>
        </w:rPr>
      </w:pPr>
      <w:r>
        <w:rPr>
          <w:rFonts w:ascii="宋体" w:hAnsi="宋体" w:eastAsia="宋体" w:cs="宋体"/>
          <w:spacing w:val="-1"/>
          <w:sz w:val="21"/>
          <w:szCs w:val="21"/>
        </w:rPr>
        <w:t>城市综合体的消防设计，还应符合现行上海市工程建设规范</w:t>
      </w:r>
      <w:r>
        <w:rPr>
          <w:rFonts w:ascii="宋体" w:hAnsi="宋体" w:eastAsia="宋体" w:cs="宋体"/>
          <w:spacing w:val="-3"/>
          <w:sz w:val="21"/>
          <w:szCs w:val="21"/>
        </w:rPr>
        <w:t>《城市综合体消防技术标准》DG/TJ08—2408的相关规定。</w:t>
      </w:r>
    </w:p>
    <w:p>
      <w:pPr>
        <w:spacing w:before="2" w:line="276" w:lineRule="auto"/>
        <w:ind w:left="104" w:right="95" w:firstLine="3"/>
        <w:rPr>
          <w:rFonts w:ascii="宋体" w:hAnsi="宋体" w:eastAsia="宋体" w:cs="宋体"/>
          <w:sz w:val="21"/>
          <w:szCs w:val="21"/>
        </w:rPr>
      </w:pPr>
      <w:r>
        <w:rPr>
          <w:rFonts w:ascii="宋体" w:hAnsi="宋体" w:eastAsia="宋体" w:cs="宋体"/>
          <w:b/>
          <w:bCs/>
          <w:spacing w:val="3"/>
          <w:sz w:val="21"/>
          <w:szCs w:val="21"/>
        </w:rPr>
        <w:t>4.2.3</w:t>
      </w:r>
      <w:r>
        <w:rPr>
          <w:rFonts w:ascii="宋体" w:hAnsi="宋体" w:eastAsia="宋体" w:cs="宋体"/>
          <w:spacing w:val="3"/>
          <w:sz w:val="21"/>
          <w:szCs w:val="21"/>
        </w:rPr>
        <w:t>本条参考现行国家标准《消防给水及</w:t>
      </w:r>
      <w:r>
        <w:rPr>
          <w:rFonts w:ascii="宋体" w:hAnsi="宋体" w:eastAsia="宋体" w:cs="宋体"/>
          <w:spacing w:val="2"/>
          <w:sz w:val="21"/>
          <w:szCs w:val="21"/>
        </w:rPr>
        <w:t>消火栓系统技术规</w:t>
      </w:r>
      <w:r>
        <w:rPr>
          <w:rFonts w:ascii="宋体" w:hAnsi="宋体" w:eastAsia="宋体" w:cs="宋体"/>
          <w:spacing w:val="-8"/>
          <w:sz w:val="21"/>
          <w:szCs w:val="21"/>
        </w:rPr>
        <w:t>范》</w:t>
      </w:r>
      <w:r>
        <w:rPr>
          <w:rFonts w:ascii="Times New Roman" w:hAnsi="Times New Roman" w:eastAsia="Times New Roman" w:cs="Times New Roman"/>
          <w:spacing w:val="-8"/>
          <w:sz w:val="21"/>
          <w:szCs w:val="21"/>
        </w:rPr>
        <w:t>GB50974</w:t>
      </w:r>
      <w:r>
        <w:rPr>
          <w:rFonts w:ascii="宋体" w:hAnsi="宋体" w:eastAsia="宋体" w:cs="宋体"/>
          <w:spacing w:val="-8"/>
          <w:sz w:val="21"/>
          <w:szCs w:val="21"/>
        </w:rPr>
        <w:t>的规定编制。</w:t>
      </w:r>
    </w:p>
    <w:p>
      <w:pPr>
        <w:spacing w:before="2" w:line="278" w:lineRule="auto"/>
        <w:ind w:left="104" w:right="87" w:firstLine="419"/>
        <w:jc w:val="both"/>
        <w:rPr>
          <w:rFonts w:ascii="宋体" w:hAnsi="宋体" w:eastAsia="宋体" w:cs="宋体"/>
          <w:sz w:val="21"/>
          <w:szCs w:val="21"/>
        </w:rPr>
      </w:pPr>
      <w:r>
        <w:rPr>
          <w:rFonts w:ascii="宋体" w:hAnsi="宋体" w:eastAsia="宋体" w:cs="宋体"/>
          <w:spacing w:val="-1"/>
          <w:sz w:val="21"/>
          <w:szCs w:val="21"/>
        </w:rPr>
        <w:t>天然水源可作为一种加强措施，有特殊要求时可以采用。取</w:t>
      </w:r>
      <w:r>
        <w:rPr>
          <w:rFonts w:ascii="宋体" w:hAnsi="宋体" w:eastAsia="宋体" w:cs="宋体"/>
          <w:spacing w:val="-2"/>
          <w:sz w:val="21"/>
          <w:szCs w:val="21"/>
        </w:rPr>
        <w:t>水场地主要包括消防车道、回车场或回车道、取水设施设置场地等。取水设施主要包括消防取水码头、消防泵取水平台、消防取</w:t>
      </w:r>
      <w:r>
        <w:rPr>
          <w:rFonts w:ascii="宋体" w:hAnsi="宋体" w:eastAsia="宋体" w:cs="宋体"/>
          <w:spacing w:val="-9"/>
          <w:sz w:val="21"/>
          <w:szCs w:val="21"/>
        </w:rPr>
        <w:t>水井、干式消防固定供水系统等。</w:t>
      </w:r>
    </w:p>
    <w:p>
      <w:pPr>
        <w:spacing w:before="1" w:line="279" w:lineRule="auto"/>
        <w:ind w:left="105" w:right="85" w:firstLine="419"/>
        <w:jc w:val="both"/>
        <w:rPr>
          <w:rFonts w:ascii="宋体" w:hAnsi="宋体" w:eastAsia="宋体" w:cs="宋体"/>
          <w:sz w:val="21"/>
          <w:szCs w:val="21"/>
        </w:rPr>
      </w:pPr>
      <w:r>
        <w:rPr>
          <w:rFonts w:ascii="宋体" w:hAnsi="宋体" w:eastAsia="宋体" w:cs="宋体"/>
          <w:spacing w:val="-12"/>
          <w:sz w:val="21"/>
          <w:szCs w:val="21"/>
        </w:rPr>
        <w:t>消防水源水质要求“无污染、无腐蚀、无悬浮物”,当采用天然</w:t>
      </w:r>
      <w:r>
        <w:rPr>
          <w:rFonts w:ascii="宋体" w:hAnsi="宋体" w:eastAsia="宋体" w:cs="宋体"/>
          <w:spacing w:val="-1"/>
          <w:sz w:val="21"/>
          <w:szCs w:val="21"/>
        </w:rPr>
        <w:t>水源时，取水设施处应有防止纤维物或其他悬浮物堵塞管道及消</w:t>
      </w:r>
      <w:r>
        <w:rPr>
          <w:rFonts w:ascii="宋体" w:hAnsi="宋体" w:eastAsia="宋体" w:cs="宋体"/>
          <w:spacing w:val="-7"/>
          <w:sz w:val="21"/>
          <w:szCs w:val="21"/>
        </w:rPr>
        <w:t>防设施的措施。</w:t>
      </w:r>
    </w:p>
    <w:p>
      <w:pPr>
        <w:pStyle w:val="2"/>
        <w:spacing w:before="2" w:line="281" w:lineRule="auto"/>
        <w:ind w:left="105" w:right="84"/>
        <w:rPr>
          <w:rFonts w:ascii="宋体" w:hAnsi="宋体" w:eastAsia="宋体" w:cs="宋体"/>
        </w:rPr>
      </w:pPr>
      <w:r>
        <w:rPr>
          <w:b/>
          <w:bCs/>
          <w:spacing w:val="4"/>
        </w:rPr>
        <w:t>4.2.4</w:t>
      </w:r>
      <w:r>
        <w:rPr>
          <w:rFonts w:ascii="宋体" w:hAnsi="宋体" w:eastAsia="宋体" w:cs="宋体"/>
          <w:spacing w:val="4"/>
        </w:rPr>
        <w:t>高位消防水箱的有效容积设计应符合现行国家标</w:t>
      </w:r>
      <w:r>
        <w:rPr>
          <w:rFonts w:ascii="宋体" w:hAnsi="宋体" w:eastAsia="宋体" w:cs="宋体"/>
          <w:spacing w:val="3"/>
        </w:rPr>
        <w:t>准《消</w:t>
      </w:r>
      <w:r>
        <w:rPr>
          <w:rFonts w:ascii="宋体" w:hAnsi="宋体" w:eastAsia="宋体" w:cs="宋体"/>
          <w:spacing w:val="-3"/>
        </w:rPr>
        <w:t>防给水及消火栓系统技术规范》</w:t>
      </w:r>
      <w:r>
        <w:rPr>
          <w:rFonts w:ascii="Times New Roman" w:hAnsi="Times New Roman" w:eastAsia="Times New Roman" w:cs="Times New Roman"/>
          <w:spacing w:val="-3"/>
        </w:rPr>
        <w:t>GB50974</w:t>
      </w:r>
      <w:r>
        <w:rPr>
          <w:rFonts w:ascii="宋体" w:hAnsi="宋体" w:eastAsia="宋体" w:cs="宋体"/>
          <w:spacing w:val="-3"/>
        </w:rPr>
        <w:t>的相关规定，包括有效</w:t>
      </w:r>
    </w:p>
    <w:p>
      <w:pPr>
        <w:spacing w:line="281" w:lineRule="auto"/>
        <w:rPr>
          <w:rFonts w:ascii="宋体" w:hAnsi="宋体" w:eastAsia="宋体" w:cs="宋体"/>
        </w:rPr>
        <w:sectPr>
          <w:footerReference r:id="rId89" w:type="default"/>
          <w:pgSz w:w="8280" w:h="11850"/>
          <w:pgMar w:top="400" w:right="1125" w:bottom="1310" w:left="1095" w:header="0" w:footer="1037" w:gutter="0"/>
          <w:cols w:space="720" w:num="1"/>
        </w:sectPr>
      </w:pPr>
    </w:p>
    <w:p>
      <w:pPr>
        <w:pStyle w:val="2"/>
        <w:spacing w:line="267" w:lineRule="auto"/>
      </w:pPr>
    </w:p>
    <w:p>
      <w:pPr>
        <w:pStyle w:val="2"/>
        <w:spacing w:line="267" w:lineRule="auto"/>
      </w:pPr>
    </w:p>
    <w:p>
      <w:pPr>
        <w:pStyle w:val="2"/>
        <w:spacing w:line="268" w:lineRule="auto"/>
      </w:pPr>
    </w:p>
    <w:p>
      <w:pPr>
        <w:spacing w:before="68" w:line="219" w:lineRule="auto"/>
        <w:ind w:left="2"/>
        <w:rPr>
          <w:rFonts w:ascii="宋体" w:hAnsi="宋体" w:eastAsia="宋体" w:cs="宋体"/>
          <w:sz w:val="21"/>
          <w:szCs w:val="21"/>
        </w:rPr>
      </w:pPr>
      <w:r>
        <w:rPr>
          <w:rFonts w:ascii="宋体" w:hAnsi="宋体" w:eastAsia="宋体" w:cs="宋体"/>
          <w:b/>
          <w:bCs/>
          <w:spacing w:val="-10"/>
          <w:sz w:val="21"/>
          <w:szCs w:val="21"/>
        </w:rPr>
        <w:t>容积设计、水池(箱)构造(分格)设计、补</w:t>
      </w:r>
      <w:r>
        <w:rPr>
          <w:rFonts w:ascii="宋体" w:hAnsi="宋体" w:eastAsia="宋体" w:cs="宋体"/>
          <w:b/>
          <w:bCs/>
          <w:spacing w:val="-11"/>
          <w:sz w:val="21"/>
          <w:szCs w:val="21"/>
        </w:rPr>
        <w:t>水管管径设计等要求。</w:t>
      </w:r>
    </w:p>
    <w:p>
      <w:pPr>
        <w:spacing w:before="72" w:line="273" w:lineRule="auto"/>
        <w:ind w:firstLine="429"/>
        <w:jc w:val="both"/>
        <w:rPr>
          <w:rFonts w:ascii="宋体" w:hAnsi="宋体" w:eastAsia="宋体" w:cs="宋体"/>
          <w:sz w:val="21"/>
          <w:szCs w:val="21"/>
        </w:rPr>
      </w:pPr>
      <w:r>
        <w:rPr>
          <w:rFonts w:ascii="宋体" w:hAnsi="宋体" w:eastAsia="宋体" w:cs="宋体"/>
          <w:spacing w:val="-2"/>
          <w:sz w:val="21"/>
          <w:szCs w:val="21"/>
        </w:rPr>
        <w:t>商店建筑设高位消防水箱的总建筑面积与现行国家标准《消</w:t>
      </w:r>
      <w:r>
        <w:rPr>
          <w:rFonts w:ascii="宋体" w:hAnsi="宋体" w:eastAsia="宋体" w:cs="宋体"/>
          <w:spacing w:val="-6"/>
          <w:sz w:val="21"/>
          <w:szCs w:val="21"/>
        </w:rPr>
        <w:t>防给水及消火栓系统技术规范》GB50974略有不同，本标准规定</w:t>
      </w:r>
      <w:r>
        <w:rPr>
          <w:rFonts w:ascii="宋体" w:hAnsi="宋体" w:eastAsia="宋体" w:cs="宋体"/>
          <w:spacing w:val="3"/>
          <w:sz w:val="21"/>
          <w:szCs w:val="21"/>
        </w:rPr>
        <w:t>的大于3000</w:t>
      </w:r>
      <w:r>
        <w:rPr>
          <w:rFonts w:ascii="Times New Roman" w:hAnsi="Times New Roman" w:eastAsia="Times New Roman" w:cs="Times New Roman"/>
          <w:spacing w:val="3"/>
          <w:sz w:val="21"/>
          <w:szCs w:val="21"/>
        </w:rPr>
        <w:t>m²</w:t>
      </w:r>
      <w:r>
        <w:rPr>
          <w:rFonts w:ascii="宋体" w:hAnsi="宋体" w:eastAsia="宋体" w:cs="宋体"/>
          <w:spacing w:val="3"/>
          <w:sz w:val="21"/>
          <w:szCs w:val="21"/>
        </w:rPr>
        <w:t>设高位水箱是参考《关于发布&lt;大中型商场防火</w:t>
      </w:r>
      <w:r>
        <w:rPr>
          <w:rFonts w:ascii="宋体" w:hAnsi="宋体" w:eastAsia="宋体" w:cs="宋体"/>
          <w:spacing w:val="-7"/>
          <w:sz w:val="21"/>
          <w:szCs w:val="21"/>
        </w:rPr>
        <w:t>技术规定&gt;的通知》(沪消发〔2004〕3</w:t>
      </w:r>
      <w:r>
        <w:rPr>
          <w:rFonts w:ascii="宋体" w:hAnsi="宋体" w:eastAsia="宋体" w:cs="宋体"/>
          <w:spacing w:val="-8"/>
          <w:sz w:val="21"/>
          <w:szCs w:val="21"/>
        </w:rPr>
        <w:t>52号)编制，该规定所称的大</w:t>
      </w:r>
      <w:r>
        <w:rPr>
          <w:rFonts w:ascii="宋体" w:hAnsi="宋体" w:eastAsia="宋体" w:cs="宋体"/>
          <w:spacing w:val="-5"/>
          <w:sz w:val="21"/>
          <w:szCs w:val="21"/>
        </w:rPr>
        <w:t>中型商场，是指建筑面积大于3000</w:t>
      </w:r>
      <w:r>
        <w:rPr>
          <w:rFonts w:ascii="Times New Roman" w:hAnsi="Times New Roman" w:eastAsia="Times New Roman" w:cs="Times New Roman"/>
          <w:spacing w:val="-5"/>
          <w:sz w:val="21"/>
          <w:szCs w:val="21"/>
        </w:rPr>
        <w:t>m²</w:t>
      </w:r>
      <w:r>
        <w:rPr>
          <w:rFonts w:ascii="宋体" w:hAnsi="宋体" w:eastAsia="宋体" w:cs="宋体"/>
          <w:spacing w:val="-5"/>
          <w:sz w:val="21"/>
          <w:szCs w:val="21"/>
        </w:rPr>
        <w:t>(含)的下列建筑和场所：百</w:t>
      </w:r>
      <w:r>
        <w:rPr>
          <w:rFonts w:ascii="宋体" w:hAnsi="宋体" w:eastAsia="宋体" w:cs="宋体"/>
          <w:spacing w:val="-12"/>
          <w:sz w:val="21"/>
          <w:szCs w:val="21"/>
        </w:rPr>
        <w:t>货商店、购物中心、超市(包括仓储式商店、大卖场)及服装、装潢、</w:t>
      </w:r>
      <w:r>
        <w:rPr>
          <w:rFonts w:ascii="宋体" w:hAnsi="宋体" w:eastAsia="宋体" w:cs="宋体"/>
          <w:spacing w:val="-7"/>
          <w:sz w:val="21"/>
          <w:szCs w:val="21"/>
        </w:rPr>
        <w:t>家具、建材等可燃物较多的室内市场。</w:t>
      </w:r>
    </w:p>
    <w:p>
      <w:pPr>
        <w:spacing w:before="37" w:line="274" w:lineRule="auto"/>
        <w:ind w:right="76" w:firstLine="459"/>
        <w:jc w:val="both"/>
        <w:rPr>
          <w:rFonts w:ascii="宋体" w:hAnsi="宋体" w:eastAsia="宋体" w:cs="宋体"/>
          <w:sz w:val="21"/>
          <w:szCs w:val="21"/>
        </w:rPr>
      </w:pPr>
      <w:r>
        <w:rPr>
          <w:rFonts w:ascii="宋体" w:hAnsi="宋体" w:eastAsia="宋体" w:cs="宋体"/>
          <w:spacing w:val="-3"/>
          <w:sz w:val="21"/>
          <w:szCs w:val="21"/>
        </w:rPr>
        <w:t>当采用高压消防给水系统时，高位消防水池(箱)储存的室内</w:t>
      </w:r>
      <w:r>
        <w:rPr>
          <w:rFonts w:ascii="宋体" w:hAnsi="宋体" w:eastAsia="宋体" w:cs="宋体"/>
          <w:spacing w:val="6"/>
          <w:sz w:val="21"/>
          <w:szCs w:val="21"/>
        </w:rPr>
        <w:t>消防用水量应按现行国家标准《消防给水及消火栓系统技术规</w:t>
      </w:r>
      <w:r>
        <w:rPr>
          <w:rFonts w:ascii="宋体" w:hAnsi="宋体" w:eastAsia="宋体" w:cs="宋体"/>
          <w:spacing w:val="-6"/>
          <w:sz w:val="21"/>
          <w:szCs w:val="21"/>
        </w:rPr>
        <w:t>范》GB50974、《自动喷水灭火系统设计规</w:t>
      </w:r>
      <w:r>
        <w:rPr>
          <w:rFonts w:ascii="宋体" w:hAnsi="宋体" w:eastAsia="宋体" w:cs="宋体"/>
          <w:spacing w:val="-7"/>
          <w:sz w:val="21"/>
          <w:szCs w:val="21"/>
        </w:rPr>
        <w:t>范》GB50084的相关规</w:t>
      </w:r>
      <w:r>
        <w:rPr>
          <w:rFonts w:ascii="宋体" w:hAnsi="宋体" w:eastAsia="宋体" w:cs="宋体"/>
          <w:spacing w:val="-3"/>
          <w:sz w:val="21"/>
          <w:szCs w:val="21"/>
        </w:rPr>
        <w:t>定进行确定。</w:t>
      </w:r>
    </w:p>
    <w:p>
      <w:pPr>
        <w:spacing w:before="11" w:line="273" w:lineRule="auto"/>
        <w:ind w:right="75"/>
        <w:jc w:val="both"/>
        <w:rPr>
          <w:rFonts w:ascii="宋体" w:hAnsi="宋体" w:eastAsia="宋体" w:cs="宋体"/>
          <w:sz w:val="21"/>
          <w:szCs w:val="21"/>
        </w:rPr>
      </w:pPr>
      <w:r>
        <w:rPr>
          <w:rFonts w:ascii="宋体" w:hAnsi="宋体" w:eastAsia="宋体" w:cs="宋体"/>
          <w:spacing w:val="3"/>
          <w:sz w:val="21"/>
          <w:szCs w:val="21"/>
        </w:rPr>
        <w:t>4.2.7目前上海消防救援部门装备的常规消防车垂直供水能力</w:t>
      </w:r>
      <w:r>
        <w:rPr>
          <w:rFonts w:ascii="宋体" w:hAnsi="宋体" w:eastAsia="宋体" w:cs="宋体"/>
          <w:spacing w:val="7"/>
          <w:sz w:val="21"/>
          <w:szCs w:val="21"/>
        </w:rPr>
        <w:t>一般不超过150</w:t>
      </w:r>
      <w:r>
        <w:rPr>
          <w:rFonts w:ascii="Times New Roman" w:hAnsi="Times New Roman" w:eastAsia="Times New Roman" w:cs="Times New Roman"/>
          <w:spacing w:val="7"/>
          <w:sz w:val="21"/>
          <w:szCs w:val="21"/>
        </w:rPr>
        <w:t>m,</w:t>
      </w:r>
      <w:r>
        <w:rPr>
          <w:rFonts w:ascii="宋体" w:hAnsi="宋体" w:eastAsia="宋体" w:cs="宋体"/>
          <w:spacing w:val="7"/>
          <w:sz w:val="21"/>
          <w:szCs w:val="21"/>
        </w:rPr>
        <w:t>管道的公称直径宜为</w:t>
      </w:r>
      <w:r>
        <w:rPr>
          <w:rFonts w:ascii="Times New Roman" w:hAnsi="Times New Roman" w:eastAsia="Times New Roman" w:cs="Times New Roman"/>
          <w:sz w:val="21"/>
          <w:szCs w:val="21"/>
        </w:rPr>
        <w:t>DN</w:t>
      </w:r>
      <w:r>
        <w:rPr>
          <w:rFonts w:ascii="Times New Roman" w:hAnsi="Times New Roman" w:eastAsia="Times New Roman" w:cs="Times New Roman"/>
          <w:spacing w:val="7"/>
          <w:sz w:val="21"/>
          <w:szCs w:val="21"/>
        </w:rPr>
        <w:t>10</w:t>
      </w:r>
      <w:r>
        <w:rPr>
          <w:rFonts w:ascii="Times New Roman" w:hAnsi="Times New Roman" w:eastAsia="Times New Roman" w:cs="Times New Roman"/>
          <w:spacing w:val="6"/>
          <w:sz w:val="21"/>
          <w:szCs w:val="21"/>
        </w:rPr>
        <w:t>0</w:t>
      </w:r>
      <w:r>
        <w:rPr>
          <w:rFonts w:ascii="宋体" w:hAnsi="宋体" w:eastAsia="宋体" w:cs="宋体"/>
          <w:spacing w:val="6"/>
          <w:sz w:val="21"/>
          <w:szCs w:val="21"/>
        </w:rPr>
        <w:t>。高区加压泵或</w:t>
      </w:r>
      <w:r>
        <w:rPr>
          <w:rFonts w:ascii="宋体" w:hAnsi="宋体" w:eastAsia="宋体" w:cs="宋体"/>
          <w:spacing w:val="-1"/>
          <w:sz w:val="21"/>
          <w:szCs w:val="21"/>
        </w:rPr>
        <w:t>二、三级转输泵的吸水管和出水管上应分别设手抬</w:t>
      </w:r>
      <w:r>
        <w:rPr>
          <w:rFonts w:ascii="宋体" w:hAnsi="宋体" w:eastAsia="宋体" w:cs="宋体"/>
          <w:spacing w:val="-2"/>
          <w:sz w:val="21"/>
          <w:szCs w:val="21"/>
        </w:rPr>
        <w:t>泵吸水接口和</w:t>
      </w:r>
      <w:r>
        <w:rPr>
          <w:rFonts w:ascii="宋体" w:hAnsi="宋体" w:eastAsia="宋体" w:cs="宋体"/>
          <w:spacing w:val="-1"/>
          <w:sz w:val="21"/>
          <w:szCs w:val="21"/>
        </w:rPr>
        <w:t>出水接口。考虑当前上海消防救援部门的实际装备情况，供手抬</w:t>
      </w:r>
      <w:r>
        <w:rPr>
          <w:rFonts w:ascii="宋体" w:hAnsi="宋体" w:eastAsia="宋体" w:cs="宋体"/>
          <w:spacing w:val="1"/>
          <w:sz w:val="21"/>
          <w:szCs w:val="21"/>
        </w:rPr>
        <w:t>泵或移动泵使用的吸水管宜采用</w:t>
      </w:r>
      <w:r>
        <w:rPr>
          <w:rFonts w:ascii="Times New Roman" w:hAnsi="Times New Roman" w:eastAsia="Times New Roman" w:cs="Times New Roman"/>
          <w:sz w:val="21"/>
          <w:szCs w:val="21"/>
        </w:rPr>
        <w:t>KYK</w:t>
      </w:r>
      <w:r>
        <w:rPr>
          <w:rFonts w:ascii="Times New Roman" w:hAnsi="Times New Roman" w:eastAsia="Times New Roman" w:cs="Times New Roman"/>
          <w:spacing w:val="1"/>
          <w:sz w:val="21"/>
          <w:szCs w:val="21"/>
        </w:rPr>
        <w:t>90</w:t>
      </w:r>
      <w:r>
        <w:rPr>
          <w:rFonts w:ascii="宋体" w:hAnsi="宋体" w:eastAsia="宋体" w:cs="宋体"/>
          <w:spacing w:val="1"/>
          <w:sz w:val="21"/>
          <w:szCs w:val="21"/>
        </w:rPr>
        <w:t>卡式管牙雄接口，出水</w:t>
      </w:r>
      <w:r>
        <w:rPr>
          <w:rFonts w:ascii="宋体" w:hAnsi="宋体" w:eastAsia="宋体" w:cs="宋体"/>
          <w:sz w:val="21"/>
          <w:szCs w:val="21"/>
        </w:rPr>
        <w:t>管宜采用</w:t>
      </w:r>
      <w:r>
        <w:rPr>
          <w:rFonts w:ascii="Times New Roman" w:hAnsi="Times New Roman" w:eastAsia="Times New Roman" w:cs="Times New Roman"/>
          <w:sz w:val="21"/>
          <w:szCs w:val="21"/>
        </w:rPr>
        <w:t>KYKA65</w:t>
      </w:r>
      <w:r>
        <w:rPr>
          <w:rFonts w:ascii="宋体" w:hAnsi="宋体" w:eastAsia="宋体" w:cs="宋体"/>
          <w:sz w:val="21"/>
          <w:szCs w:val="21"/>
        </w:rPr>
        <w:t>卡式管牙雌接口。</w:t>
      </w:r>
    </w:p>
    <w:p>
      <w:pPr>
        <w:spacing w:before="28" w:line="262" w:lineRule="auto"/>
        <w:ind w:right="56"/>
        <w:rPr>
          <w:rFonts w:ascii="宋体" w:hAnsi="宋体" w:eastAsia="宋体" w:cs="宋体"/>
          <w:sz w:val="21"/>
          <w:szCs w:val="21"/>
        </w:rPr>
      </w:pPr>
      <w:r>
        <w:rPr>
          <w:rFonts w:ascii="宋体" w:hAnsi="宋体" w:eastAsia="宋体" w:cs="宋体"/>
          <w:spacing w:val="3"/>
          <w:sz w:val="21"/>
          <w:szCs w:val="21"/>
        </w:rPr>
        <w:t>4.2.8上海地区一般不采用地下式消防水泵接合器。水泵接合</w:t>
      </w:r>
      <w:r>
        <w:rPr>
          <w:rFonts w:ascii="宋体" w:hAnsi="宋体" w:eastAsia="宋体" w:cs="宋体"/>
          <w:spacing w:val="6"/>
          <w:sz w:val="21"/>
          <w:szCs w:val="21"/>
        </w:rPr>
        <w:t>器不应安装在玻璃幕墙正下方。当在玻璃幕墙处设侧墙式水泵</w:t>
      </w:r>
      <w:r>
        <w:rPr>
          <w:rFonts w:ascii="宋体" w:hAnsi="宋体" w:eastAsia="宋体" w:cs="宋体"/>
          <w:spacing w:val="1"/>
          <w:sz w:val="21"/>
          <w:szCs w:val="21"/>
        </w:rPr>
        <w:t>接合器时，应在其上部设置宽度大于或等于1</w:t>
      </w:r>
      <w:r>
        <w:rPr>
          <w:rFonts w:ascii="Times New Roman" w:hAnsi="Times New Roman" w:eastAsia="Times New Roman" w:cs="Times New Roman"/>
          <w:spacing w:val="1"/>
          <w:sz w:val="21"/>
          <w:szCs w:val="21"/>
        </w:rPr>
        <w:t>m</w:t>
      </w:r>
      <w:r>
        <w:rPr>
          <w:rFonts w:ascii="宋体" w:hAnsi="宋体" w:eastAsia="宋体" w:cs="宋体"/>
          <w:spacing w:val="1"/>
          <w:sz w:val="21"/>
          <w:szCs w:val="21"/>
        </w:rPr>
        <w:t>的防护挑檐或在</w:t>
      </w:r>
      <w:r>
        <w:rPr>
          <w:rFonts w:ascii="宋体" w:hAnsi="宋体" w:eastAsia="宋体" w:cs="宋体"/>
          <w:spacing w:val="10"/>
          <w:sz w:val="21"/>
          <w:szCs w:val="21"/>
        </w:rPr>
        <w:t>间距大于或等于30</w:t>
      </w:r>
      <w:r>
        <w:rPr>
          <w:rFonts w:ascii="Times New Roman" w:hAnsi="Times New Roman" w:eastAsia="Times New Roman" w:cs="Times New Roman"/>
          <w:spacing w:val="10"/>
          <w:sz w:val="21"/>
          <w:szCs w:val="21"/>
        </w:rPr>
        <w:t>m,</w:t>
      </w:r>
      <w:r>
        <w:rPr>
          <w:rFonts w:ascii="宋体" w:hAnsi="宋体" w:eastAsia="宋体" w:cs="宋体"/>
          <w:spacing w:val="10"/>
          <w:sz w:val="21"/>
          <w:szCs w:val="21"/>
        </w:rPr>
        <w:t>且距建筑外墙小于40</w:t>
      </w:r>
      <w:r>
        <w:rPr>
          <w:rFonts w:ascii="Times New Roman" w:hAnsi="Times New Roman" w:eastAsia="Times New Roman" w:cs="Times New Roman"/>
          <w:spacing w:val="10"/>
          <w:sz w:val="21"/>
          <w:szCs w:val="21"/>
        </w:rPr>
        <w:t>m</w:t>
      </w:r>
      <w:r>
        <w:rPr>
          <w:rFonts w:ascii="宋体" w:hAnsi="宋体" w:eastAsia="宋体" w:cs="宋体"/>
          <w:spacing w:val="10"/>
          <w:sz w:val="21"/>
          <w:szCs w:val="21"/>
        </w:rPr>
        <w:t>范围内设置第二</w:t>
      </w:r>
      <w:r>
        <w:rPr>
          <w:rFonts w:ascii="宋体" w:hAnsi="宋体" w:eastAsia="宋体" w:cs="宋体"/>
          <w:spacing w:val="-2"/>
          <w:sz w:val="21"/>
          <w:szCs w:val="21"/>
        </w:rPr>
        <w:t>处水泵接合器。</w:t>
      </w:r>
    </w:p>
    <w:p>
      <w:pPr>
        <w:spacing w:before="68" w:line="269" w:lineRule="auto"/>
        <w:ind w:right="76"/>
        <w:rPr>
          <w:rFonts w:ascii="宋体" w:hAnsi="宋体" w:eastAsia="宋体" w:cs="宋体"/>
          <w:sz w:val="21"/>
          <w:szCs w:val="21"/>
        </w:rPr>
      </w:pPr>
      <w:r>
        <w:rPr>
          <w:rFonts w:ascii="宋体" w:hAnsi="宋体" w:eastAsia="宋体" w:cs="宋体"/>
          <w:spacing w:val="3"/>
          <w:sz w:val="21"/>
          <w:szCs w:val="21"/>
        </w:rPr>
        <w:t>4.2.9每栋建筑附近的消防水泵接</w:t>
      </w:r>
      <w:r>
        <w:rPr>
          <w:rFonts w:ascii="宋体" w:hAnsi="宋体" w:eastAsia="宋体" w:cs="宋体"/>
          <w:spacing w:val="2"/>
          <w:sz w:val="21"/>
          <w:szCs w:val="21"/>
        </w:rPr>
        <w:t>合器数量，需确保该栋建筑涉及的每个消防给水系统至少有1套，多栋建筑合用临时高压给</w:t>
      </w:r>
      <w:r>
        <w:rPr>
          <w:rFonts w:ascii="宋体" w:hAnsi="宋体" w:eastAsia="宋体" w:cs="宋体"/>
          <w:sz w:val="21"/>
          <w:szCs w:val="21"/>
        </w:rPr>
        <w:t>水系统时，在5</w:t>
      </w:r>
      <w:r>
        <w:rPr>
          <w:rFonts w:ascii="Times New Roman" w:hAnsi="Times New Roman" w:eastAsia="Times New Roman" w:cs="Times New Roman"/>
          <w:sz w:val="21"/>
          <w:szCs w:val="21"/>
        </w:rPr>
        <w:t>m</w:t>
      </w:r>
      <w:r>
        <w:rPr>
          <w:rFonts w:ascii="宋体" w:hAnsi="宋体" w:eastAsia="宋体" w:cs="宋体"/>
          <w:sz w:val="21"/>
          <w:szCs w:val="21"/>
        </w:rPr>
        <w:t>～</w:t>
      </w:r>
      <w:r>
        <w:rPr>
          <w:rFonts w:ascii="Times New Roman" w:hAnsi="Times New Roman" w:eastAsia="Times New Roman" w:cs="Times New Roman"/>
          <w:sz w:val="21"/>
          <w:szCs w:val="21"/>
        </w:rPr>
        <w:t>40m</w:t>
      </w:r>
      <w:r>
        <w:rPr>
          <w:rFonts w:ascii="宋体" w:hAnsi="宋体" w:eastAsia="宋体" w:cs="宋体"/>
          <w:sz w:val="21"/>
          <w:szCs w:val="21"/>
        </w:rPr>
        <w:t>范围内相邻建筑水泵接合器可计入。每</w:t>
      </w:r>
      <w:r>
        <w:rPr>
          <w:rFonts w:ascii="宋体" w:hAnsi="宋体" w:eastAsia="宋体" w:cs="宋体"/>
          <w:spacing w:val="6"/>
          <w:sz w:val="21"/>
          <w:szCs w:val="21"/>
        </w:rPr>
        <w:t>个系统配置的水泵接合器总数应按设计流量经计算后确定。当</w:t>
      </w:r>
      <w:r>
        <w:rPr>
          <w:rFonts w:ascii="宋体" w:hAnsi="宋体" w:eastAsia="宋体" w:cs="宋体"/>
          <w:spacing w:val="-2"/>
          <w:sz w:val="21"/>
          <w:szCs w:val="21"/>
        </w:rPr>
        <w:t>计算数量大于3个时，可根据供水可靠性适当减少。</w:t>
      </w:r>
    </w:p>
    <w:p>
      <w:pPr>
        <w:spacing w:line="269" w:lineRule="auto"/>
        <w:rPr>
          <w:rFonts w:ascii="宋体" w:hAnsi="宋体" w:eastAsia="宋体" w:cs="宋体"/>
          <w:sz w:val="21"/>
          <w:szCs w:val="21"/>
        </w:rPr>
        <w:sectPr>
          <w:footerReference r:id="rId90" w:type="default"/>
          <w:pgSz w:w="8280" w:h="11850"/>
          <w:pgMar w:top="400" w:right="1145" w:bottom="1360" w:left="1200" w:header="0" w:footer="1087" w:gutter="0"/>
          <w:cols w:space="720" w:num="1"/>
        </w:sectPr>
      </w:pPr>
    </w:p>
    <w:p>
      <w:pPr>
        <w:pStyle w:val="2"/>
        <w:spacing w:line="290" w:lineRule="auto"/>
      </w:pPr>
    </w:p>
    <w:p>
      <w:pPr>
        <w:pStyle w:val="2"/>
        <w:spacing w:line="290" w:lineRule="auto"/>
      </w:pPr>
    </w:p>
    <w:p>
      <w:pPr>
        <w:pStyle w:val="2"/>
        <w:spacing w:line="290" w:lineRule="auto"/>
      </w:pPr>
    </w:p>
    <w:p>
      <w:pPr>
        <w:pStyle w:val="2"/>
        <w:spacing w:line="290" w:lineRule="auto"/>
      </w:pPr>
    </w:p>
    <w:p>
      <w:pPr>
        <w:spacing w:before="68" w:line="219" w:lineRule="auto"/>
        <w:ind w:left="2163"/>
        <w:rPr>
          <w:rFonts w:ascii="宋体" w:hAnsi="宋体" w:eastAsia="宋体" w:cs="宋体"/>
          <w:sz w:val="21"/>
          <w:szCs w:val="21"/>
        </w:rPr>
      </w:pPr>
      <w:bookmarkStart w:id="76" w:name="bookmark110"/>
      <w:bookmarkEnd w:id="76"/>
      <w:bookmarkStart w:id="77" w:name="bookmark130"/>
      <w:bookmarkEnd w:id="77"/>
      <w:r>
        <w:rPr>
          <w:rFonts w:ascii="宋体" w:hAnsi="宋体" w:eastAsia="宋体" w:cs="宋体"/>
          <w:b/>
          <w:bCs/>
          <w:spacing w:val="-1"/>
          <w:sz w:val="21"/>
          <w:szCs w:val="21"/>
        </w:rPr>
        <w:t>4.3消防用水量</w:t>
      </w:r>
    </w:p>
    <w:p>
      <w:pPr>
        <w:pStyle w:val="2"/>
        <w:spacing w:line="322" w:lineRule="auto"/>
      </w:pPr>
    </w:p>
    <w:p>
      <w:pPr>
        <w:spacing w:before="68" w:line="265" w:lineRule="auto"/>
        <w:rPr>
          <w:rFonts w:ascii="宋体" w:hAnsi="宋体" w:eastAsia="宋体" w:cs="宋体"/>
          <w:sz w:val="21"/>
          <w:szCs w:val="21"/>
        </w:rPr>
      </w:pPr>
      <w:r>
        <w:rPr>
          <w:rFonts w:ascii="宋体" w:hAnsi="宋体" w:eastAsia="宋体" w:cs="宋体"/>
          <w:spacing w:val="19"/>
          <w:sz w:val="21"/>
          <w:szCs w:val="21"/>
        </w:rPr>
        <w:t>4.3.1现行国家标准《消防给水及消火栓系统技术规范》</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50974</w:t>
      </w:r>
      <w:r>
        <w:rPr>
          <w:rFonts w:ascii="宋体" w:hAnsi="宋体" w:eastAsia="宋体" w:cs="宋体"/>
          <w:spacing w:val="5"/>
          <w:sz w:val="21"/>
          <w:szCs w:val="21"/>
        </w:rPr>
        <w:t>明确规定了消防用水量的计算方法</w:t>
      </w:r>
      <w:r>
        <w:rPr>
          <w:rFonts w:ascii="宋体" w:hAnsi="宋体" w:eastAsia="宋体" w:cs="宋体"/>
          <w:spacing w:val="4"/>
          <w:sz w:val="21"/>
          <w:szCs w:val="21"/>
        </w:rPr>
        <w:t>和计算公式，应严</w:t>
      </w:r>
      <w:r>
        <w:rPr>
          <w:rFonts w:ascii="宋体" w:hAnsi="宋体" w:eastAsia="宋体" w:cs="宋体"/>
          <w:spacing w:val="-1"/>
          <w:sz w:val="21"/>
          <w:szCs w:val="21"/>
        </w:rPr>
        <w:t>格执行。可成组布置的建筑只适合特定建筑，如满足一、二级耐火等级的多层住宅建筑或办公建筑，且每组建筑占地面积总和及组内或组与其他相邻建筑物之间的间距需满足现行国家标准《建</w:t>
      </w:r>
      <w:r>
        <w:rPr>
          <w:rFonts w:ascii="宋体" w:hAnsi="宋体" w:eastAsia="宋体" w:cs="宋体"/>
          <w:spacing w:val="4"/>
          <w:sz w:val="21"/>
          <w:szCs w:val="21"/>
        </w:rPr>
        <w:t>筑设计防火规范》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50016</w:t>
      </w:r>
      <w:r>
        <w:rPr>
          <w:rFonts w:ascii="宋体" w:hAnsi="宋体" w:eastAsia="宋体" w:cs="宋体"/>
          <w:spacing w:val="4"/>
          <w:sz w:val="21"/>
          <w:szCs w:val="21"/>
        </w:rPr>
        <w:t>的相关要求。是否为成组</w:t>
      </w:r>
      <w:r>
        <w:rPr>
          <w:rFonts w:ascii="宋体" w:hAnsi="宋体" w:eastAsia="宋体" w:cs="宋体"/>
          <w:spacing w:val="3"/>
          <w:sz w:val="21"/>
          <w:szCs w:val="21"/>
        </w:rPr>
        <w:t>建筑由建</w:t>
      </w:r>
      <w:r>
        <w:rPr>
          <w:rFonts w:ascii="宋体" w:hAnsi="宋体" w:eastAsia="宋体" w:cs="宋体"/>
          <w:spacing w:val="-3"/>
          <w:sz w:val="21"/>
          <w:szCs w:val="21"/>
        </w:rPr>
        <w:t>筑专业明确。</w:t>
      </w:r>
    </w:p>
    <w:p>
      <w:pPr>
        <w:spacing w:before="111" w:line="259" w:lineRule="auto"/>
        <w:ind w:right="96"/>
        <w:rPr>
          <w:rFonts w:ascii="宋体" w:hAnsi="宋体" w:eastAsia="宋体" w:cs="宋体"/>
          <w:sz w:val="21"/>
          <w:szCs w:val="21"/>
        </w:rPr>
      </w:pPr>
      <w:r>
        <w:rPr>
          <w:rFonts w:ascii="宋体" w:hAnsi="宋体" w:eastAsia="宋体" w:cs="宋体"/>
          <w:spacing w:val="4"/>
          <w:sz w:val="21"/>
          <w:szCs w:val="21"/>
        </w:rPr>
        <w:t>4.3.2当单座建筑内不同使用功能</w:t>
      </w:r>
      <w:r>
        <w:rPr>
          <w:rFonts w:ascii="宋体" w:hAnsi="宋体" w:eastAsia="宋体" w:cs="宋体"/>
          <w:spacing w:val="3"/>
          <w:sz w:val="21"/>
          <w:szCs w:val="21"/>
        </w:rPr>
        <w:t>场所之间的防火分隔满足现</w:t>
      </w:r>
      <w:r>
        <w:rPr>
          <w:rFonts w:ascii="宋体" w:hAnsi="宋体" w:eastAsia="宋体" w:cs="宋体"/>
          <w:spacing w:val="-5"/>
          <w:sz w:val="21"/>
          <w:szCs w:val="21"/>
        </w:rPr>
        <w:t>行国家标准《建筑防火通用规范》GB55037和《建筑设计防火规</w:t>
      </w:r>
      <w:r>
        <w:rPr>
          <w:rFonts w:ascii="宋体" w:hAnsi="宋体" w:eastAsia="宋体" w:cs="宋体"/>
          <w:spacing w:val="-3"/>
          <w:sz w:val="21"/>
          <w:szCs w:val="21"/>
        </w:rPr>
        <w:t>范》</w:t>
      </w:r>
      <w:r>
        <w:rPr>
          <w:rFonts w:ascii="Times New Roman" w:hAnsi="Times New Roman" w:eastAsia="Times New Roman" w:cs="Times New Roman"/>
          <w:spacing w:val="-3"/>
          <w:sz w:val="21"/>
          <w:szCs w:val="21"/>
        </w:rPr>
        <w:t>GB50016</w:t>
      </w:r>
      <w:r>
        <w:rPr>
          <w:rFonts w:ascii="宋体" w:hAnsi="宋体" w:eastAsia="宋体" w:cs="宋体"/>
          <w:spacing w:val="-3"/>
          <w:sz w:val="21"/>
          <w:szCs w:val="21"/>
        </w:rPr>
        <w:t>的相关规定时，不同使用功能场所的室内外消防系</w:t>
      </w:r>
      <w:r>
        <w:rPr>
          <w:rFonts w:ascii="宋体" w:hAnsi="宋体" w:eastAsia="宋体" w:cs="宋体"/>
          <w:spacing w:val="-5"/>
          <w:sz w:val="21"/>
          <w:szCs w:val="21"/>
        </w:rPr>
        <w:t>统设计流量和火灾延续时间可分别进行计算，取最大值。</w:t>
      </w:r>
    </w:p>
    <w:p>
      <w:pPr>
        <w:spacing w:before="78" w:line="274" w:lineRule="auto"/>
        <w:ind w:right="19" w:firstLine="439"/>
        <w:rPr>
          <w:rFonts w:ascii="宋体" w:hAnsi="宋体" w:eastAsia="宋体" w:cs="宋体"/>
          <w:sz w:val="21"/>
          <w:szCs w:val="21"/>
        </w:rPr>
      </w:pPr>
      <w:r>
        <w:rPr>
          <w:rFonts w:ascii="宋体" w:hAnsi="宋体" w:eastAsia="宋体" w:cs="宋体"/>
          <w:spacing w:val="7"/>
          <w:sz w:val="21"/>
          <w:szCs w:val="21"/>
        </w:rPr>
        <w:t>当同一防火分区内同时设有自动喷水灭火系统和自动跟踪</w:t>
      </w:r>
      <w:r>
        <w:rPr>
          <w:rFonts w:ascii="宋体" w:hAnsi="宋体" w:eastAsia="宋体" w:cs="宋体"/>
          <w:spacing w:val="10"/>
          <w:sz w:val="21"/>
          <w:szCs w:val="21"/>
        </w:rPr>
        <w:t>定位射流灭火等系统时，若2个或2个以上系统存在同时作用，</w:t>
      </w:r>
      <w:r>
        <w:rPr>
          <w:rFonts w:ascii="宋体" w:hAnsi="宋体" w:eastAsia="宋体" w:cs="宋体"/>
          <w:spacing w:val="7"/>
          <w:sz w:val="21"/>
          <w:szCs w:val="21"/>
        </w:rPr>
        <w:t>消防用水量应按2个或2个以上系统设计流量叠加计算；若不同</w:t>
      </w:r>
      <w:r>
        <w:rPr>
          <w:rFonts w:ascii="宋体" w:hAnsi="宋体" w:eastAsia="宋体" w:cs="宋体"/>
          <w:spacing w:val="3"/>
          <w:sz w:val="21"/>
          <w:szCs w:val="21"/>
        </w:rPr>
        <w:t>时作用，则消防用水量取2个或2个以上系统设计流量最大者。</w:t>
      </w:r>
    </w:p>
    <w:p>
      <w:pPr>
        <w:spacing w:before="24" w:line="273" w:lineRule="auto"/>
        <w:ind w:right="40"/>
        <w:rPr>
          <w:rFonts w:ascii="宋体" w:hAnsi="宋体" w:eastAsia="宋体" w:cs="宋体"/>
          <w:sz w:val="21"/>
          <w:szCs w:val="21"/>
        </w:rPr>
      </w:pPr>
      <w:r>
        <w:rPr>
          <w:rFonts w:ascii="宋体" w:hAnsi="宋体" w:eastAsia="宋体" w:cs="宋体"/>
          <w:spacing w:val="3"/>
          <w:sz w:val="21"/>
          <w:szCs w:val="21"/>
        </w:rPr>
        <w:t>4.3.3本条综合现行国家标准《消防给水及消火栓系统技术规</w:t>
      </w:r>
      <w:r>
        <w:rPr>
          <w:rFonts w:ascii="宋体" w:hAnsi="宋体" w:eastAsia="宋体" w:cs="宋体"/>
          <w:spacing w:val="5"/>
          <w:sz w:val="21"/>
          <w:szCs w:val="21"/>
        </w:rPr>
        <w:t>范》</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50974</w:t>
      </w:r>
      <w:r>
        <w:rPr>
          <w:rFonts w:ascii="宋体" w:hAnsi="宋体" w:eastAsia="宋体" w:cs="宋体"/>
          <w:spacing w:val="5"/>
          <w:sz w:val="21"/>
          <w:szCs w:val="21"/>
        </w:rPr>
        <w:t>规定编制。根据上海市火灾的情</w:t>
      </w:r>
      <w:r>
        <w:rPr>
          <w:rFonts w:ascii="宋体" w:hAnsi="宋体" w:eastAsia="宋体" w:cs="宋体"/>
          <w:spacing w:val="4"/>
          <w:sz w:val="21"/>
          <w:szCs w:val="21"/>
        </w:rPr>
        <w:t>况以及实际建设</w:t>
      </w:r>
      <w:r>
        <w:rPr>
          <w:rFonts w:ascii="宋体" w:hAnsi="宋体" w:eastAsia="宋体" w:cs="宋体"/>
          <w:spacing w:val="-1"/>
          <w:sz w:val="21"/>
          <w:szCs w:val="21"/>
        </w:rPr>
        <w:t>的超高层等设计实例，对同一建筑或采用集中消防给水系统的建</w:t>
      </w:r>
      <w:r>
        <w:rPr>
          <w:rFonts w:ascii="宋体" w:hAnsi="宋体" w:eastAsia="宋体" w:cs="宋体"/>
          <w:spacing w:val="7"/>
          <w:sz w:val="21"/>
          <w:szCs w:val="21"/>
        </w:rPr>
        <w:t>筑群均按同一时间内一次火灾次数设计。单座建筑的总建筑面</w:t>
      </w:r>
      <w:r>
        <w:rPr>
          <w:rFonts w:ascii="宋体" w:hAnsi="宋体" w:eastAsia="宋体" w:cs="宋体"/>
          <w:spacing w:val="11"/>
          <w:sz w:val="21"/>
          <w:szCs w:val="21"/>
        </w:rPr>
        <w:t>积=地上各栋的建筑面积之和十地下室的总建筑面积。地下室</w:t>
      </w:r>
      <w:r>
        <w:rPr>
          <w:rFonts w:ascii="宋体" w:hAnsi="宋体" w:eastAsia="宋体" w:cs="宋体"/>
          <w:spacing w:val="-1"/>
          <w:sz w:val="21"/>
          <w:szCs w:val="21"/>
        </w:rPr>
        <w:t>投影线范围内的所有建筑(含地下室)统称为单座建筑；地下室上</w:t>
      </w:r>
      <w:r>
        <w:rPr>
          <w:rFonts w:ascii="宋体" w:hAnsi="宋体" w:eastAsia="宋体" w:cs="宋体"/>
          <w:spacing w:val="16"/>
          <w:sz w:val="21"/>
          <w:szCs w:val="21"/>
        </w:rPr>
        <w:t>方的独立建筑称为单栋建筑。当单座建筑的总建</w:t>
      </w:r>
      <w:r>
        <w:rPr>
          <w:rFonts w:ascii="宋体" w:hAnsi="宋体" w:eastAsia="宋体" w:cs="宋体"/>
          <w:spacing w:val="15"/>
          <w:sz w:val="21"/>
          <w:szCs w:val="21"/>
        </w:rPr>
        <w:t>筑面积大于</w:t>
      </w:r>
      <w:r>
        <w:rPr>
          <w:rFonts w:ascii="宋体" w:hAnsi="宋体" w:eastAsia="宋体" w:cs="宋体"/>
          <w:spacing w:val="4"/>
          <w:sz w:val="21"/>
          <w:szCs w:val="21"/>
        </w:rPr>
        <w:t>500000m²时，建筑物的室外消火栓设计流量</w:t>
      </w:r>
      <w:r>
        <w:rPr>
          <w:rFonts w:ascii="宋体" w:hAnsi="宋体" w:eastAsia="宋体" w:cs="宋体"/>
          <w:spacing w:val="3"/>
          <w:sz w:val="21"/>
          <w:szCs w:val="21"/>
        </w:rPr>
        <w:t>应增加1倍。室外消火栓用水量按本标准表5.2.1计算，其值与国家标准《消防给水及消火栓系统技术规范》</w:t>
      </w:r>
      <w:r>
        <w:rPr>
          <w:rFonts w:ascii="宋体" w:hAnsi="宋体" w:eastAsia="宋体" w:cs="宋体"/>
          <w:sz w:val="21"/>
          <w:szCs w:val="21"/>
        </w:rPr>
        <w:t>GB</w:t>
      </w:r>
      <w:r>
        <w:rPr>
          <w:rFonts w:ascii="宋体" w:hAnsi="宋体" w:eastAsia="宋体" w:cs="宋体"/>
          <w:spacing w:val="3"/>
          <w:sz w:val="21"/>
          <w:szCs w:val="21"/>
        </w:rPr>
        <w:t>50974—2014表3.2.</w:t>
      </w:r>
      <w:r>
        <w:rPr>
          <w:rFonts w:ascii="宋体" w:hAnsi="宋体" w:eastAsia="宋体" w:cs="宋体"/>
          <w:spacing w:val="2"/>
          <w:sz w:val="21"/>
          <w:szCs w:val="21"/>
        </w:rPr>
        <w:t>2不一致时，</w:t>
      </w:r>
      <w:r>
        <w:rPr>
          <w:rFonts w:ascii="宋体" w:hAnsi="宋体" w:eastAsia="宋体" w:cs="宋体"/>
          <w:spacing w:val="-2"/>
          <w:sz w:val="21"/>
          <w:szCs w:val="21"/>
        </w:rPr>
        <w:t>应取其较大值。</w:t>
      </w:r>
    </w:p>
    <w:p>
      <w:pPr>
        <w:spacing w:line="273" w:lineRule="auto"/>
        <w:rPr>
          <w:rFonts w:ascii="宋体" w:hAnsi="宋体" w:eastAsia="宋体" w:cs="宋体"/>
          <w:sz w:val="21"/>
          <w:szCs w:val="21"/>
        </w:rPr>
        <w:sectPr>
          <w:footerReference r:id="rId91" w:type="default"/>
          <w:pgSz w:w="8280" w:h="11850"/>
          <w:pgMar w:top="400" w:right="1104" w:bottom="1340" w:left="1190" w:header="0" w:footer="1067" w:gutter="0"/>
          <w:cols w:space="720" w:num="1"/>
        </w:sectPr>
      </w:pPr>
    </w:p>
    <w:p>
      <w:pPr>
        <w:pStyle w:val="2"/>
        <w:spacing w:line="280" w:lineRule="auto"/>
      </w:pPr>
    </w:p>
    <w:p>
      <w:pPr>
        <w:pStyle w:val="2"/>
        <w:spacing w:line="280" w:lineRule="auto"/>
      </w:pPr>
    </w:p>
    <w:p>
      <w:pPr>
        <w:pStyle w:val="2"/>
        <w:spacing w:line="280" w:lineRule="auto"/>
      </w:pPr>
    </w:p>
    <w:p>
      <w:pPr>
        <w:pStyle w:val="2"/>
        <w:spacing w:line="281" w:lineRule="auto"/>
      </w:pPr>
    </w:p>
    <w:p>
      <w:pPr>
        <w:spacing w:before="68" w:line="221" w:lineRule="auto"/>
        <w:ind w:left="2253"/>
        <w:rPr>
          <w:rFonts w:ascii="宋体" w:hAnsi="宋体" w:eastAsia="宋体" w:cs="宋体"/>
          <w:sz w:val="21"/>
          <w:szCs w:val="21"/>
        </w:rPr>
      </w:pPr>
      <w:bookmarkStart w:id="78" w:name="bookmark111"/>
      <w:bookmarkEnd w:id="78"/>
      <w:bookmarkStart w:id="79" w:name="bookmark131"/>
      <w:bookmarkEnd w:id="79"/>
      <w:r>
        <w:rPr>
          <w:rFonts w:ascii="宋体" w:hAnsi="宋体" w:eastAsia="宋体" w:cs="宋体"/>
          <w:b/>
          <w:bCs/>
          <w:spacing w:val="-5"/>
          <w:sz w:val="21"/>
          <w:szCs w:val="21"/>
        </w:rPr>
        <w:t>4.4系统形式</w:t>
      </w:r>
    </w:p>
    <w:p>
      <w:pPr>
        <w:pStyle w:val="2"/>
        <w:spacing w:line="318" w:lineRule="auto"/>
      </w:pPr>
    </w:p>
    <w:p>
      <w:pPr>
        <w:spacing w:before="68" w:line="246" w:lineRule="auto"/>
        <w:ind w:right="115" w:firstLine="3"/>
        <w:rPr>
          <w:rFonts w:ascii="宋体" w:hAnsi="宋体" w:eastAsia="宋体" w:cs="宋体"/>
          <w:sz w:val="21"/>
          <w:szCs w:val="21"/>
        </w:rPr>
      </w:pPr>
      <w:r>
        <w:rPr>
          <w:rFonts w:ascii="宋体" w:hAnsi="宋体" w:eastAsia="宋体" w:cs="宋体"/>
          <w:b/>
          <w:bCs/>
          <w:spacing w:val="1"/>
          <w:sz w:val="21"/>
          <w:szCs w:val="21"/>
        </w:rPr>
        <w:t>4.4.1</w:t>
      </w:r>
      <w:r>
        <w:rPr>
          <w:rFonts w:ascii="宋体" w:hAnsi="宋体" w:eastAsia="宋体" w:cs="宋体"/>
          <w:spacing w:val="1"/>
          <w:sz w:val="21"/>
          <w:szCs w:val="21"/>
        </w:rPr>
        <w:t>重要建筑应分别设置消防泵，采用独立的管道系统。对</w:t>
      </w:r>
      <w:r>
        <w:rPr>
          <w:rFonts w:ascii="宋体" w:hAnsi="宋体" w:eastAsia="宋体" w:cs="宋体"/>
          <w:spacing w:val="-14"/>
          <w:sz w:val="21"/>
          <w:szCs w:val="21"/>
        </w:rPr>
        <w:t>于二类高层及单、多层建筑，考虑经济性，可以合用。</w:t>
      </w:r>
    </w:p>
    <w:p>
      <w:pPr>
        <w:spacing w:before="69" w:line="277" w:lineRule="auto"/>
        <w:ind w:right="115"/>
        <w:rPr>
          <w:rFonts w:ascii="宋体" w:hAnsi="宋体" w:eastAsia="宋体" w:cs="宋体"/>
          <w:sz w:val="17"/>
          <w:szCs w:val="17"/>
        </w:rPr>
      </w:pPr>
      <w:r>
        <w:rPr>
          <w:rFonts w:ascii="Times New Roman" w:hAnsi="Times New Roman" w:eastAsia="Times New Roman" w:cs="Times New Roman"/>
          <w:b/>
          <w:bCs/>
          <w:spacing w:val="4"/>
          <w:sz w:val="21"/>
          <w:szCs w:val="21"/>
        </w:rPr>
        <w:t>4.4.3</w:t>
      </w:r>
      <w:r>
        <w:rPr>
          <w:rFonts w:ascii="宋体" w:hAnsi="宋体" w:eastAsia="宋体" w:cs="宋体"/>
          <w:spacing w:val="4"/>
          <w:sz w:val="21"/>
          <w:szCs w:val="21"/>
        </w:rPr>
        <w:t>建筑高度120</w:t>
      </w:r>
      <w:r>
        <w:rPr>
          <w:rFonts w:ascii="Times New Roman" w:hAnsi="Times New Roman" w:eastAsia="Times New Roman" w:cs="Times New Roman"/>
          <w:spacing w:val="4"/>
          <w:sz w:val="21"/>
          <w:szCs w:val="21"/>
        </w:rPr>
        <w:t>m</w:t>
      </w:r>
      <w:r>
        <w:rPr>
          <w:rFonts w:ascii="宋体" w:hAnsi="宋体" w:eastAsia="宋体" w:cs="宋体"/>
          <w:spacing w:val="4"/>
          <w:sz w:val="21"/>
          <w:szCs w:val="21"/>
        </w:rPr>
        <w:t>以下建筑，一般可采用一泵到顶的供水</w:t>
      </w:r>
      <w:r>
        <w:rPr>
          <w:rFonts w:ascii="宋体" w:hAnsi="宋体" w:eastAsia="宋体" w:cs="宋体"/>
          <w:spacing w:val="10"/>
          <w:sz w:val="21"/>
          <w:szCs w:val="21"/>
        </w:rPr>
        <w:t>方式，控制消防系统管网和配件的系统工作压力在2.40</w:t>
      </w:r>
      <w:r>
        <w:rPr>
          <w:rFonts w:ascii="Times New Roman" w:hAnsi="Times New Roman" w:eastAsia="Times New Roman" w:cs="Times New Roman"/>
          <w:sz w:val="21"/>
          <w:szCs w:val="21"/>
        </w:rPr>
        <w:t>MPd</w:t>
      </w:r>
      <w:r>
        <w:rPr>
          <w:rFonts w:ascii="宋体" w:hAnsi="宋体" w:eastAsia="宋体" w:cs="宋体"/>
          <w:spacing w:val="-13"/>
          <w:sz w:val="17"/>
          <w:szCs w:val="17"/>
        </w:rPr>
        <w:t>以下。</w:t>
      </w:r>
    </w:p>
    <w:p>
      <w:pPr>
        <w:spacing w:before="66" w:line="265" w:lineRule="auto"/>
        <w:ind w:right="39"/>
        <w:rPr>
          <w:rFonts w:ascii="宋体" w:hAnsi="宋体" w:eastAsia="宋体" w:cs="宋体"/>
          <w:sz w:val="21"/>
          <w:szCs w:val="21"/>
        </w:rPr>
      </w:pPr>
      <w:r>
        <w:rPr>
          <w:rFonts w:ascii="Times New Roman" w:hAnsi="Times New Roman" w:eastAsia="Times New Roman" w:cs="Times New Roman"/>
          <w:b/>
          <w:bCs/>
          <w:spacing w:val="5"/>
          <w:sz w:val="21"/>
          <w:szCs w:val="21"/>
        </w:rPr>
        <w:t>4.4.4</w:t>
      </w:r>
      <w:r>
        <w:rPr>
          <w:rFonts w:ascii="宋体" w:hAnsi="宋体" w:eastAsia="宋体" w:cs="宋体"/>
          <w:spacing w:val="5"/>
          <w:sz w:val="21"/>
          <w:szCs w:val="21"/>
        </w:rPr>
        <w:t>建筑高度大于120</w:t>
      </w:r>
      <w:r>
        <w:rPr>
          <w:rFonts w:ascii="Times New Roman" w:hAnsi="Times New Roman" w:eastAsia="Times New Roman" w:cs="Times New Roman"/>
          <w:spacing w:val="5"/>
          <w:sz w:val="21"/>
          <w:szCs w:val="21"/>
        </w:rPr>
        <w:t>m</w:t>
      </w:r>
      <w:r>
        <w:rPr>
          <w:rFonts w:ascii="宋体" w:hAnsi="宋体" w:eastAsia="宋体" w:cs="宋体"/>
          <w:spacing w:val="5"/>
          <w:sz w:val="21"/>
          <w:szCs w:val="21"/>
        </w:rPr>
        <w:t>的建筑，其消防给水系统工作压力</w:t>
      </w:r>
      <w:r>
        <w:rPr>
          <w:rFonts w:ascii="宋体" w:hAnsi="宋体" w:eastAsia="宋体" w:cs="宋体"/>
          <w:spacing w:val="-1"/>
          <w:sz w:val="21"/>
          <w:szCs w:val="21"/>
        </w:rPr>
        <w:t>可能大于2.40MPa,考虑管道的承压能力和系统经济性，采用消</w:t>
      </w:r>
      <w:r>
        <w:rPr>
          <w:rFonts w:ascii="宋体" w:hAnsi="宋体" w:eastAsia="宋体" w:cs="宋体"/>
          <w:spacing w:val="6"/>
          <w:sz w:val="21"/>
          <w:szCs w:val="21"/>
        </w:rPr>
        <w:t>防泵串联或减压水箱分区供水较合理。其中消防</w:t>
      </w:r>
      <w:r>
        <w:rPr>
          <w:rFonts w:ascii="宋体" w:hAnsi="宋体" w:eastAsia="宋体" w:cs="宋体"/>
          <w:spacing w:val="5"/>
          <w:sz w:val="21"/>
          <w:szCs w:val="21"/>
        </w:rPr>
        <w:t>泵串联给水方</w:t>
      </w:r>
      <w:r>
        <w:rPr>
          <w:rFonts w:ascii="宋体" w:hAnsi="宋体" w:eastAsia="宋体" w:cs="宋体"/>
          <w:spacing w:val="-2"/>
          <w:sz w:val="21"/>
          <w:szCs w:val="21"/>
        </w:rPr>
        <w:t>式有两种：一种是消防水泵直接串联；另一种是消防水泵通过消</w:t>
      </w:r>
      <w:r>
        <w:rPr>
          <w:rFonts w:ascii="宋体" w:hAnsi="宋体" w:eastAsia="宋体" w:cs="宋体"/>
          <w:spacing w:val="1"/>
          <w:sz w:val="21"/>
          <w:szCs w:val="21"/>
        </w:rPr>
        <w:t>防转输水箱串联。当建筑高度大于200</w:t>
      </w:r>
      <w:r>
        <w:rPr>
          <w:rFonts w:ascii="Times New Roman" w:hAnsi="Times New Roman" w:eastAsia="Times New Roman" w:cs="Times New Roman"/>
          <w:spacing w:val="1"/>
          <w:sz w:val="21"/>
          <w:szCs w:val="21"/>
        </w:rPr>
        <w:t>m</w:t>
      </w:r>
      <w:r>
        <w:rPr>
          <w:rFonts w:ascii="宋体" w:hAnsi="宋体" w:eastAsia="宋体" w:cs="宋体"/>
          <w:spacing w:val="1"/>
          <w:sz w:val="21"/>
          <w:szCs w:val="21"/>
        </w:rPr>
        <w:t>时，可采用高压消防给水系统。多栋超高层建筑组成的建筑群，需经过技术经</w:t>
      </w:r>
      <w:r>
        <w:rPr>
          <w:rFonts w:ascii="宋体" w:hAnsi="宋体" w:eastAsia="宋体" w:cs="宋体"/>
          <w:sz w:val="21"/>
          <w:szCs w:val="21"/>
        </w:rPr>
        <w:t>济分析，</w:t>
      </w:r>
      <w:r>
        <w:rPr>
          <w:rFonts w:ascii="宋体" w:hAnsi="宋体" w:eastAsia="宋体" w:cs="宋体"/>
          <w:spacing w:val="-1"/>
          <w:sz w:val="21"/>
          <w:szCs w:val="21"/>
        </w:rPr>
        <w:t>确定各栋建筑消防给水分区形式。</w:t>
      </w:r>
    </w:p>
    <w:p>
      <w:pPr>
        <w:spacing w:before="109" w:line="251" w:lineRule="auto"/>
        <w:ind w:right="74" w:firstLine="3"/>
        <w:rPr>
          <w:rFonts w:ascii="宋体" w:hAnsi="宋体" w:eastAsia="宋体" w:cs="宋体"/>
          <w:sz w:val="21"/>
          <w:szCs w:val="21"/>
        </w:rPr>
      </w:pPr>
      <w:r>
        <w:rPr>
          <w:rFonts w:ascii="宋体" w:hAnsi="宋体" w:eastAsia="宋体" w:cs="宋体"/>
          <w:b/>
          <w:bCs/>
          <w:spacing w:val="6"/>
          <w:sz w:val="21"/>
          <w:szCs w:val="21"/>
        </w:rPr>
        <w:t>4.4.5</w:t>
      </w:r>
      <w:r>
        <w:rPr>
          <w:rFonts w:ascii="宋体" w:hAnsi="宋体" w:eastAsia="宋体" w:cs="宋体"/>
          <w:spacing w:val="6"/>
          <w:sz w:val="21"/>
          <w:szCs w:val="21"/>
        </w:rPr>
        <w:t>本条参照《建筑高度大于250米民用建</w:t>
      </w:r>
      <w:r>
        <w:rPr>
          <w:rFonts w:ascii="宋体" w:hAnsi="宋体" w:eastAsia="宋体" w:cs="宋体"/>
          <w:spacing w:val="5"/>
          <w:sz w:val="21"/>
          <w:szCs w:val="21"/>
        </w:rPr>
        <w:t>筑防火设计加强</w:t>
      </w:r>
      <w:r>
        <w:rPr>
          <w:rFonts w:ascii="宋体" w:hAnsi="宋体" w:eastAsia="宋体" w:cs="宋体"/>
          <w:spacing w:val="-9"/>
          <w:sz w:val="21"/>
          <w:szCs w:val="21"/>
        </w:rPr>
        <w:t>性技术要求(试行)》(公安部公消〔2018〕57号)的规定。</w:t>
      </w:r>
    </w:p>
    <w:p>
      <w:pPr>
        <w:spacing w:before="96" w:line="188"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4.4.6</w:t>
      </w:r>
    </w:p>
    <w:p>
      <w:pPr>
        <w:spacing w:before="95" w:line="277" w:lineRule="auto"/>
        <w:ind w:right="62" w:firstLine="439"/>
        <w:rPr>
          <w:rFonts w:ascii="宋体" w:hAnsi="宋体" w:eastAsia="宋体" w:cs="宋体"/>
          <w:sz w:val="21"/>
          <w:szCs w:val="21"/>
        </w:rPr>
      </w:pPr>
      <w:r>
        <w:rPr>
          <w:rFonts w:ascii="宋体" w:hAnsi="宋体" w:eastAsia="宋体" w:cs="宋体"/>
          <w:spacing w:val="-3"/>
          <w:sz w:val="21"/>
          <w:szCs w:val="21"/>
        </w:rPr>
        <w:t>第1款中间水箱包括转输水箱、分区高位消防水箱和减压</w:t>
      </w:r>
      <w:r>
        <w:rPr>
          <w:rFonts w:ascii="宋体" w:hAnsi="宋体" w:eastAsia="宋体" w:cs="宋体"/>
          <w:spacing w:val="6"/>
          <w:sz w:val="21"/>
          <w:szCs w:val="21"/>
        </w:rPr>
        <w:t>水箱。中间水箱宜分成2格。</w:t>
      </w:r>
    </w:p>
    <w:p>
      <w:pPr>
        <w:spacing w:before="3" w:line="273" w:lineRule="auto"/>
        <w:ind w:right="96" w:firstLine="439"/>
        <w:jc w:val="both"/>
        <w:rPr>
          <w:rFonts w:ascii="宋体" w:hAnsi="宋体" w:eastAsia="宋体" w:cs="宋体"/>
          <w:sz w:val="21"/>
          <w:szCs w:val="21"/>
        </w:rPr>
      </w:pPr>
      <w:r>
        <w:rPr>
          <w:rFonts w:ascii="宋体" w:hAnsi="宋体" w:eastAsia="宋体" w:cs="宋体"/>
          <w:spacing w:val="6"/>
          <w:sz w:val="21"/>
          <w:szCs w:val="21"/>
        </w:rPr>
        <w:t>第3款采用消防泵直接串联的给水系统，火灾初期小流量</w:t>
      </w:r>
      <w:r>
        <w:rPr>
          <w:rFonts w:ascii="宋体" w:hAnsi="宋体" w:eastAsia="宋体" w:cs="宋体"/>
          <w:spacing w:val="-2"/>
          <w:sz w:val="21"/>
          <w:szCs w:val="21"/>
        </w:rPr>
        <w:t>运行时，</w:t>
      </w:r>
      <w:r>
        <w:rPr>
          <w:rFonts w:ascii="宋体" w:hAnsi="宋体" w:eastAsia="宋体" w:cs="宋体"/>
          <w:spacing w:val="-2"/>
          <w:sz w:val="21"/>
          <w:szCs w:val="21"/>
          <w:u w:val="single" w:color="auto"/>
        </w:rPr>
        <w:t>上</w:t>
      </w:r>
      <w:r>
        <w:rPr>
          <w:rFonts w:ascii="宋体" w:hAnsi="宋体" w:eastAsia="宋体" w:cs="宋体"/>
          <w:spacing w:val="-2"/>
          <w:sz w:val="21"/>
          <w:szCs w:val="21"/>
        </w:rPr>
        <w:t>、下区消防水泵均存在超压现象。为防</w:t>
      </w:r>
      <w:r>
        <w:rPr>
          <w:rFonts w:ascii="宋体" w:hAnsi="宋体" w:eastAsia="宋体" w:cs="宋体"/>
          <w:spacing w:val="-3"/>
          <w:sz w:val="21"/>
          <w:szCs w:val="21"/>
        </w:rPr>
        <w:t>止止回阀不严</w:t>
      </w:r>
      <w:r>
        <w:rPr>
          <w:rFonts w:ascii="宋体" w:hAnsi="宋体" w:eastAsia="宋体" w:cs="宋体"/>
          <w:spacing w:val="-2"/>
          <w:sz w:val="21"/>
          <w:szCs w:val="21"/>
        </w:rPr>
        <w:t>密时，导致下区水泵回流压力大于其工作压力而超压，串联消防</w:t>
      </w:r>
      <w:r>
        <w:rPr>
          <w:rFonts w:ascii="宋体" w:hAnsi="宋体" w:eastAsia="宋体" w:cs="宋体"/>
          <w:spacing w:val="-3"/>
          <w:sz w:val="21"/>
          <w:szCs w:val="21"/>
        </w:rPr>
        <w:t>水泵出水管上应设置减压型倒流防止器。</w:t>
      </w:r>
    </w:p>
    <w:p>
      <w:pPr>
        <w:spacing w:before="26" w:line="219" w:lineRule="auto"/>
        <w:ind w:left="439"/>
        <w:rPr>
          <w:rFonts w:ascii="宋体" w:hAnsi="宋体" w:eastAsia="宋体" w:cs="宋体"/>
          <w:sz w:val="21"/>
          <w:szCs w:val="21"/>
        </w:rPr>
      </w:pPr>
      <w:r>
        <w:rPr>
          <w:rFonts w:ascii="宋体" w:hAnsi="宋体" w:eastAsia="宋体" w:cs="宋体"/>
          <w:spacing w:val="10"/>
          <w:sz w:val="21"/>
          <w:szCs w:val="21"/>
        </w:rPr>
        <w:t>第4款消防转输泵也属于消防泵。转输泵不应少于2台。</w:t>
      </w:r>
    </w:p>
    <w:p>
      <w:pPr>
        <w:spacing w:before="68" w:line="279" w:lineRule="auto"/>
        <w:ind w:firstLine="439"/>
        <w:rPr>
          <w:rFonts w:ascii="宋体" w:hAnsi="宋体" w:eastAsia="宋体" w:cs="宋体"/>
          <w:sz w:val="21"/>
          <w:szCs w:val="21"/>
        </w:rPr>
      </w:pPr>
      <w:r>
        <w:rPr>
          <w:rFonts w:ascii="宋体" w:hAnsi="宋体" w:eastAsia="宋体" w:cs="宋体"/>
          <w:spacing w:val="1"/>
          <w:sz w:val="21"/>
          <w:szCs w:val="21"/>
        </w:rPr>
        <w:t>第6款不同楼层中间水箱溢流排水可以采用每级断接方式，</w:t>
      </w:r>
      <w:r>
        <w:rPr>
          <w:rFonts w:ascii="宋体" w:hAnsi="宋体" w:eastAsia="宋体" w:cs="宋体"/>
          <w:spacing w:val="-9"/>
          <w:sz w:val="21"/>
          <w:szCs w:val="21"/>
        </w:rPr>
        <w:t>间接排至下级中间水箱，或设置水箱专用排水管连接每一级中间水</w:t>
      </w:r>
      <w:r>
        <w:rPr>
          <w:rFonts w:ascii="宋体" w:hAnsi="宋体" w:eastAsia="宋体" w:cs="宋体"/>
          <w:spacing w:val="-10"/>
          <w:sz w:val="21"/>
          <w:szCs w:val="21"/>
        </w:rPr>
        <w:t>箱溢流排水，水箱专用排水管直接接至底部消</w:t>
      </w:r>
      <w:r>
        <w:rPr>
          <w:rFonts w:ascii="宋体" w:hAnsi="宋体" w:eastAsia="宋体" w:cs="宋体"/>
          <w:spacing w:val="-11"/>
          <w:sz w:val="21"/>
          <w:szCs w:val="21"/>
        </w:rPr>
        <w:t>防水池排放。</w:t>
      </w:r>
    </w:p>
    <w:p>
      <w:pPr>
        <w:spacing w:line="219" w:lineRule="auto"/>
        <w:ind w:left="439"/>
        <w:rPr>
          <w:rFonts w:ascii="宋体" w:hAnsi="宋体" w:eastAsia="宋体" w:cs="宋体"/>
          <w:sz w:val="21"/>
          <w:szCs w:val="21"/>
        </w:rPr>
      </w:pPr>
      <w:r>
        <w:rPr>
          <w:rFonts w:ascii="宋体" w:hAnsi="宋体" w:eastAsia="宋体" w:cs="宋体"/>
          <w:spacing w:val="6"/>
          <w:sz w:val="21"/>
          <w:szCs w:val="21"/>
        </w:rPr>
        <w:t>第7款减压水箱既有高位消防水箱的作用又兼具消防水池</w:t>
      </w:r>
    </w:p>
    <w:p>
      <w:pPr>
        <w:spacing w:line="219" w:lineRule="auto"/>
        <w:rPr>
          <w:rFonts w:ascii="宋体" w:hAnsi="宋体" w:eastAsia="宋体" w:cs="宋体"/>
          <w:sz w:val="21"/>
          <w:szCs w:val="21"/>
        </w:rPr>
        <w:sectPr>
          <w:footerReference r:id="rId92" w:type="default"/>
          <w:pgSz w:w="8280" w:h="11850"/>
          <w:pgMar w:top="400" w:right="1145" w:bottom="1370" w:left="1190" w:header="0" w:footer="1097" w:gutter="0"/>
          <w:cols w:space="720" w:num="1"/>
        </w:sectPr>
      </w:pPr>
    </w:p>
    <w:p>
      <w:pPr>
        <w:pStyle w:val="2"/>
        <w:spacing w:line="290" w:lineRule="auto"/>
      </w:pPr>
    </w:p>
    <w:p>
      <w:pPr>
        <w:pStyle w:val="2"/>
        <w:spacing w:line="291" w:lineRule="auto"/>
      </w:pPr>
    </w:p>
    <w:p>
      <w:pPr>
        <w:pStyle w:val="2"/>
        <w:spacing w:line="291" w:lineRule="auto"/>
      </w:pPr>
    </w:p>
    <w:p>
      <w:pPr>
        <w:spacing w:before="65" w:line="294" w:lineRule="auto"/>
        <w:ind w:right="68"/>
        <w:jc w:val="both"/>
        <w:rPr>
          <w:rFonts w:ascii="宋体" w:hAnsi="宋体" w:eastAsia="宋体" w:cs="宋体"/>
          <w:sz w:val="20"/>
          <w:szCs w:val="20"/>
        </w:rPr>
      </w:pPr>
      <w:r>
        <w:rPr>
          <w:rFonts w:ascii="宋体" w:hAnsi="宋体" w:eastAsia="宋体" w:cs="宋体"/>
          <w:spacing w:val="2"/>
          <w:sz w:val="20"/>
          <w:szCs w:val="20"/>
        </w:rPr>
        <w:t>的功能，故应遵守高位消防水箱和消防水池的所有规定。减压水箱可以与转输水箱合并设置。减压水箱进水管应防冲击，在进水管上</w:t>
      </w:r>
      <w:r>
        <w:rPr>
          <w:rFonts w:ascii="宋体" w:hAnsi="宋体" w:eastAsia="宋体" w:cs="宋体"/>
          <w:spacing w:val="-3"/>
          <w:sz w:val="20"/>
          <w:szCs w:val="20"/>
        </w:rPr>
        <w:t>设减压、消能措施。当减压水箱进水管压力大于0.60</w:t>
      </w:r>
      <w:r>
        <w:rPr>
          <w:rFonts w:ascii="Times New Roman" w:hAnsi="Times New Roman" w:eastAsia="Times New Roman" w:cs="Times New Roman"/>
          <w:spacing w:val="-3"/>
          <w:sz w:val="20"/>
          <w:szCs w:val="20"/>
        </w:rPr>
        <w:t>MPa</w:t>
      </w:r>
      <w:r>
        <w:rPr>
          <w:rFonts w:ascii="宋体" w:hAnsi="宋体" w:eastAsia="宋体" w:cs="宋体"/>
          <w:spacing w:val="-3"/>
          <w:sz w:val="20"/>
          <w:szCs w:val="20"/>
        </w:rPr>
        <w:t>时，宜设</w:t>
      </w:r>
      <w:r>
        <w:rPr>
          <w:rFonts w:ascii="宋体" w:hAnsi="宋体" w:eastAsia="宋体" w:cs="宋体"/>
          <w:spacing w:val="17"/>
          <w:sz w:val="20"/>
          <w:szCs w:val="20"/>
        </w:rPr>
        <w:t>减压措施。减压阀处设置的安全阀(或泄压阀)</w:t>
      </w:r>
      <w:r>
        <w:rPr>
          <w:rFonts w:ascii="宋体" w:hAnsi="宋体" w:eastAsia="宋体" w:cs="宋体"/>
          <w:spacing w:val="16"/>
          <w:sz w:val="20"/>
          <w:szCs w:val="20"/>
        </w:rPr>
        <w:t>的规格选用应能</w:t>
      </w:r>
      <w:r>
        <w:rPr>
          <w:rFonts w:ascii="宋体" w:hAnsi="宋体" w:eastAsia="宋体" w:cs="宋体"/>
          <w:spacing w:val="9"/>
          <w:sz w:val="20"/>
          <w:szCs w:val="20"/>
        </w:rPr>
        <w:t>保证减压阀失效时泄去超压的水量，保证系统安全；减压阀后管</w:t>
      </w:r>
      <w:r>
        <w:rPr>
          <w:rFonts w:ascii="宋体" w:hAnsi="宋体" w:eastAsia="宋体" w:cs="宋体"/>
          <w:spacing w:val="21"/>
          <w:sz w:val="20"/>
          <w:szCs w:val="20"/>
        </w:rPr>
        <w:t>道工作压力及阀门压力等级，应大于减压阀后安全阀(或泄压</w:t>
      </w:r>
      <w:r>
        <w:rPr>
          <w:rFonts w:ascii="宋体" w:hAnsi="宋体" w:eastAsia="宋体" w:cs="宋体"/>
          <w:spacing w:val="13"/>
          <w:sz w:val="20"/>
          <w:szCs w:val="20"/>
        </w:rPr>
        <w:t>阀)的动作压力值。减压水箱进水管上，宜设置应急自动关闭进</w:t>
      </w:r>
      <w:r>
        <w:rPr>
          <w:rFonts w:ascii="宋体" w:hAnsi="宋体" w:eastAsia="宋体" w:cs="宋体"/>
          <w:spacing w:val="9"/>
          <w:sz w:val="20"/>
          <w:szCs w:val="20"/>
        </w:rPr>
        <w:t>水阀，以达到报警联动的目的。阀门平时常开，在水箱超过溢流水位时，由消控中心关闭。应急自动关闭进水阀可采用电动阀或</w:t>
      </w:r>
      <w:r>
        <w:rPr>
          <w:rFonts w:ascii="宋体" w:hAnsi="宋体" w:eastAsia="宋体" w:cs="宋体"/>
          <w:spacing w:val="2"/>
          <w:sz w:val="20"/>
          <w:szCs w:val="20"/>
        </w:rPr>
        <w:t>电磁阀。</w:t>
      </w:r>
    </w:p>
    <w:p>
      <w:pPr>
        <w:spacing w:before="4" w:line="292" w:lineRule="auto"/>
        <w:ind w:right="72" w:firstLine="419"/>
        <w:jc w:val="both"/>
        <w:rPr>
          <w:rFonts w:ascii="宋体" w:hAnsi="宋体" w:eastAsia="宋体" w:cs="宋体"/>
          <w:sz w:val="20"/>
          <w:szCs w:val="20"/>
        </w:rPr>
      </w:pPr>
      <w:r>
        <w:rPr>
          <w:rFonts w:ascii="宋体" w:hAnsi="宋体" w:eastAsia="宋体" w:cs="宋体"/>
          <w:spacing w:val="16"/>
          <w:sz w:val="20"/>
          <w:szCs w:val="20"/>
        </w:rPr>
        <w:t>第8款减压水箱作为高位消防水池高压给水系统的关键</w:t>
      </w:r>
      <w:r>
        <w:rPr>
          <w:rFonts w:ascii="宋体" w:hAnsi="宋体" w:eastAsia="宋体" w:cs="宋体"/>
          <w:spacing w:val="13"/>
          <w:sz w:val="20"/>
          <w:szCs w:val="20"/>
        </w:rPr>
        <w:t>组成，应分成2格，确保在清洗或检修其中一格时另一格仍能供</w:t>
      </w:r>
      <w:r>
        <w:rPr>
          <w:rFonts w:ascii="宋体" w:hAnsi="宋体" w:eastAsia="宋体" w:cs="宋体"/>
          <w:spacing w:val="9"/>
          <w:sz w:val="20"/>
          <w:szCs w:val="20"/>
        </w:rPr>
        <w:t>应消防用水。水箱进出水管管径应保持一致，且均能满足消防给</w:t>
      </w:r>
      <w:r>
        <w:rPr>
          <w:rFonts w:ascii="宋体" w:hAnsi="宋体" w:eastAsia="宋体" w:cs="宋体"/>
          <w:spacing w:val="7"/>
          <w:sz w:val="20"/>
          <w:szCs w:val="20"/>
        </w:rPr>
        <w:t>水系统所需消防用水量的要求。</w:t>
      </w:r>
    </w:p>
    <w:p>
      <w:pPr>
        <w:spacing w:line="285" w:lineRule="auto"/>
        <w:ind w:firstLine="409"/>
        <w:rPr>
          <w:rFonts w:ascii="宋体" w:hAnsi="宋体" w:eastAsia="宋体" w:cs="宋体"/>
          <w:sz w:val="20"/>
          <w:szCs w:val="20"/>
        </w:rPr>
      </w:pPr>
      <w:r>
        <w:rPr>
          <w:rFonts w:ascii="宋体" w:hAnsi="宋体" w:eastAsia="宋体" w:cs="宋体"/>
          <w:spacing w:val="10"/>
          <w:sz w:val="20"/>
          <w:szCs w:val="20"/>
        </w:rPr>
        <w:t>第9款根据消防车厂家提供的资料，按照泵压</w:t>
      </w:r>
      <w:r>
        <w:rPr>
          <w:rFonts w:ascii="宋体" w:hAnsi="宋体" w:eastAsia="宋体" w:cs="宋体"/>
          <w:spacing w:val="9"/>
          <w:sz w:val="20"/>
          <w:szCs w:val="20"/>
        </w:rPr>
        <w:t>力的分类，</w:t>
      </w:r>
      <w:r>
        <w:rPr>
          <w:rFonts w:ascii="宋体" w:hAnsi="宋体" w:eastAsia="宋体" w:cs="宋体"/>
          <w:spacing w:val="2"/>
          <w:sz w:val="20"/>
          <w:szCs w:val="20"/>
        </w:rPr>
        <w:t>可分为：</w:t>
      </w:r>
    </w:p>
    <w:p>
      <w:pPr>
        <w:spacing w:line="270" w:lineRule="auto"/>
        <w:ind w:left="868" w:right="165" w:hanging="259"/>
        <w:rPr>
          <w:rFonts w:ascii="宋体" w:hAnsi="宋体" w:eastAsia="宋体" w:cs="宋体"/>
          <w:sz w:val="20"/>
          <w:szCs w:val="20"/>
        </w:rPr>
      </w:pPr>
      <w:r>
        <w:rPr>
          <w:rFonts w:ascii="宋体" w:hAnsi="宋体" w:eastAsia="宋体" w:cs="宋体"/>
          <w:spacing w:val="1"/>
          <w:sz w:val="20"/>
          <w:szCs w:val="20"/>
        </w:rPr>
        <w:t>1)低压泵消防车：泵的额定工作压力大于或等于1.00</w:t>
      </w:r>
      <w:r>
        <w:rPr>
          <w:rFonts w:ascii="Times New Roman" w:hAnsi="Times New Roman" w:eastAsia="Times New Roman" w:cs="Times New Roman"/>
          <w:sz w:val="20"/>
          <w:szCs w:val="20"/>
        </w:rPr>
        <w:t>MPa</w:t>
      </w:r>
      <w:r>
        <w:rPr>
          <w:rFonts w:ascii="Times New Roman" w:hAnsi="Times New Roman" w:eastAsia="Times New Roman" w:cs="Times New Roman"/>
          <w:spacing w:val="1"/>
          <w:sz w:val="20"/>
          <w:szCs w:val="20"/>
        </w:rPr>
        <w:t>,</w:t>
      </w:r>
      <w:r>
        <w:rPr>
          <w:rFonts w:ascii="宋体" w:hAnsi="宋体" w:eastAsia="宋体" w:cs="宋体"/>
          <w:spacing w:val="-2"/>
          <w:sz w:val="20"/>
          <w:szCs w:val="20"/>
        </w:rPr>
        <w:t>小于1.40</w:t>
      </w:r>
      <w:r>
        <w:rPr>
          <w:rFonts w:ascii="Times New Roman" w:hAnsi="Times New Roman" w:eastAsia="Times New Roman" w:cs="Times New Roman"/>
          <w:spacing w:val="-2"/>
          <w:sz w:val="20"/>
          <w:szCs w:val="20"/>
        </w:rPr>
        <w:t>MPa</w:t>
      </w:r>
      <w:r>
        <w:rPr>
          <w:rFonts w:ascii="宋体" w:hAnsi="宋体" w:eastAsia="宋体" w:cs="宋体"/>
          <w:spacing w:val="-2"/>
          <w:sz w:val="20"/>
          <w:szCs w:val="20"/>
        </w:rPr>
        <w:t>。</w:t>
      </w:r>
    </w:p>
    <w:p>
      <w:pPr>
        <w:spacing w:before="64" w:line="267" w:lineRule="auto"/>
        <w:ind w:left="868" w:right="123" w:hanging="259"/>
        <w:rPr>
          <w:rFonts w:ascii="宋体" w:hAnsi="宋体" w:eastAsia="宋体" w:cs="宋体"/>
          <w:sz w:val="20"/>
          <w:szCs w:val="20"/>
        </w:rPr>
      </w:pPr>
      <w:r>
        <w:rPr>
          <w:rFonts w:ascii="宋体" w:hAnsi="宋体" w:eastAsia="宋体" w:cs="宋体"/>
          <w:spacing w:val="6"/>
          <w:sz w:val="20"/>
          <w:szCs w:val="20"/>
        </w:rPr>
        <w:t>2)中压泵消防车：泵的额定压力大于或等于1.40</w:t>
      </w:r>
      <w:r>
        <w:rPr>
          <w:rFonts w:ascii="Times New Roman" w:hAnsi="Times New Roman" w:eastAsia="Times New Roman" w:cs="Times New Roman"/>
          <w:sz w:val="20"/>
          <w:szCs w:val="20"/>
        </w:rPr>
        <w:t>MPa</w:t>
      </w:r>
      <w:r>
        <w:rPr>
          <w:rFonts w:ascii="Times New Roman" w:hAnsi="Times New Roman" w:eastAsia="Times New Roman" w:cs="Times New Roman"/>
          <w:spacing w:val="6"/>
          <w:sz w:val="20"/>
          <w:szCs w:val="20"/>
        </w:rPr>
        <w:t>,</w:t>
      </w:r>
      <w:r>
        <w:rPr>
          <w:rFonts w:ascii="宋体" w:hAnsi="宋体" w:eastAsia="宋体" w:cs="宋体"/>
          <w:spacing w:val="6"/>
          <w:sz w:val="20"/>
          <w:szCs w:val="20"/>
        </w:rPr>
        <w:t>小</w:t>
      </w:r>
      <w:r>
        <w:rPr>
          <w:rFonts w:ascii="宋体" w:hAnsi="宋体" w:eastAsia="宋体" w:cs="宋体"/>
          <w:spacing w:val="3"/>
          <w:sz w:val="20"/>
          <w:szCs w:val="20"/>
        </w:rPr>
        <w:t>于2.50</w:t>
      </w:r>
      <w:r>
        <w:rPr>
          <w:rFonts w:ascii="Times New Roman" w:hAnsi="Times New Roman" w:eastAsia="Times New Roman" w:cs="Times New Roman"/>
          <w:sz w:val="20"/>
          <w:szCs w:val="20"/>
        </w:rPr>
        <w:t>MPa</w:t>
      </w:r>
      <w:r>
        <w:rPr>
          <w:rFonts w:ascii="宋体" w:hAnsi="宋体" w:eastAsia="宋体" w:cs="宋体"/>
          <w:spacing w:val="3"/>
          <w:sz w:val="20"/>
          <w:szCs w:val="20"/>
        </w:rPr>
        <w:t>。</w:t>
      </w:r>
    </w:p>
    <w:p>
      <w:pPr>
        <w:spacing w:before="24" w:line="256" w:lineRule="auto"/>
        <w:ind w:left="868" w:right="64" w:hanging="259"/>
        <w:rPr>
          <w:rFonts w:ascii="宋体" w:hAnsi="宋体" w:eastAsia="宋体" w:cs="宋体"/>
          <w:sz w:val="20"/>
          <w:szCs w:val="20"/>
        </w:rPr>
      </w:pPr>
      <w:r>
        <w:rPr>
          <w:rFonts w:ascii="宋体" w:hAnsi="宋体" w:eastAsia="宋体" w:cs="宋体"/>
          <w:spacing w:val="-1"/>
          <w:sz w:val="24"/>
          <w:szCs w:val="24"/>
        </w:rPr>
        <w:t>3)中低压泵消防车：泵的低压额定压力大于或等于</w:t>
      </w:r>
      <w:r>
        <w:rPr>
          <w:rFonts w:ascii="Times New Roman" w:hAnsi="Times New Roman" w:eastAsia="Times New Roman" w:cs="Times New Roman"/>
          <w:spacing w:val="11"/>
          <w:sz w:val="20"/>
          <w:szCs w:val="20"/>
        </w:rPr>
        <w:t>1.00</w:t>
      </w:r>
      <w:r>
        <w:rPr>
          <w:rFonts w:ascii="Times New Roman" w:hAnsi="Times New Roman" w:eastAsia="Times New Roman" w:cs="Times New Roman"/>
          <w:sz w:val="20"/>
          <w:szCs w:val="20"/>
        </w:rPr>
        <w:t>MPa</w:t>
      </w:r>
      <w:r>
        <w:rPr>
          <w:rFonts w:ascii="Times New Roman" w:hAnsi="Times New Roman" w:eastAsia="Times New Roman" w:cs="Times New Roman"/>
          <w:spacing w:val="11"/>
          <w:sz w:val="20"/>
          <w:szCs w:val="20"/>
        </w:rPr>
        <w:t>,</w:t>
      </w:r>
      <w:r>
        <w:rPr>
          <w:rFonts w:ascii="宋体" w:hAnsi="宋体" w:eastAsia="宋体" w:cs="宋体"/>
          <w:spacing w:val="11"/>
          <w:sz w:val="20"/>
          <w:szCs w:val="20"/>
        </w:rPr>
        <w:t>小于1.40</w:t>
      </w:r>
      <w:r>
        <w:rPr>
          <w:rFonts w:ascii="Times New Roman" w:hAnsi="Times New Roman" w:eastAsia="Times New Roman" w:cs="Times New Roman"/>
          <w:sz w:val="20"/>
          <w:szCs w:val="20"/>
        </w:rPr>
        <w:t>MPa</w:t>
      </w:r>
      <w:r>
        <w:rPr>
          <w:rFonts w:ascii="Times New Roman" w:hAnsi="Times New Roman" w:eastAsia="Times New Roman" w:cs="Times New Roman"/>
          <w:spacing w:val="11"/>
          <w:sz w:val="20"/>
          <w:szCs w:val="20"/>
        </w:rPr>
        <w:t>;</w:t>
      </w:r>
      <w:r>
        <w:rPr>
          <w:rFonts w:ascii="宋体" w:hAnsi="宋体" w:eastAsia="宋体" w:cs="宋体"/>
          <w:spacing w:val="11"/>
          <w:sz w:val="20"/>
          <w:szCs w:val="20"/>
        </w:rPr>
        <w:t>中压额定压力大于或等于</w:t>
      </w:r>
      <w:r>
        <w:rPr>
          <w:rFonts w:ascii="Times New Roman" w:hAnsi="Times New Roman" w:eastAsia="Times New Roman" w:cs="Times New Roman"/>
          <w:spacing w:val="-4"/>
          <w:sz w:val="24"/>
          <w:szCs w:val="24"/>
        </w:rPr>
        <w:t>1.40MPa,</w:t>
      </w:r>
      <w:r>
        <w:rPr>
          <w:rFonts w:ascii="宋体" w:hAnsi="宋体" w:eastAsia="宋体" w:cs="宋体"/>
          <w:spacing w:val="-4"/>
          <w:sz w:val="24"/>
          <w:szCs w:val="24"/>
        </w:rPr>
        <w:t>小于2.50</w:t>
      </w:r>
      <w:r>
        <w:rPr>
          <w:rFonts w:ascii="Times New Roman" w:hAnsi="Times New Roman" w:eastAsia="Times New Roman" w:cs="Times New Roman"/>
          <w:spacing w:val="-4"/>
          <w:sz w:val="24"/>
          <w:szCs w:val="24"/>
        </w:rPr>
        <w:t>MPa;</w:t>
      </w:r>
      <w:r>
        <w:rPr>
          <w:rFonts w:ascii="宋体" w:hAnsi="宋体" w:eastAsia="宋体" w:cs="宋体"/>
          <w:spacing w:val="-4"/>
          <w:sz w:val="24"/>
          <w:szCs w:val="24"/>
        </w:rPr>
        <w:t>可低压、中压或中低压</w:t>
      </w:r>
      <w:r>
        <w:rPr>
          <w:rFonts w:ascii="宋体" w:hAnsi="宋体" w:eastAsia="宋体" w:cs="宋体"/>
          <w:spacing w:val="6"/>
          <w:sz w:val="20"/>
          <w:szCs w:val="20"/>
        </w:rPr>
        <w:t>联用。</w:t>
      </w:r>
    </w:p>
    <w:p>
      <w:pPr>
        <w:spacing w:before="42" w:line="258" w:lineRule="auto"/>
        <w:ind w:left="868" w:right="58" w:hanging="259"/>
        <w:rPr>
          <w:rFonts w:ascii="宋体" w:hAnsi="宋体" w:eastAsia="宋体" w:cs="宋体"/>
          <w:sz w:val="20"/>
          <w:szCs w:val="20"/>
        </w:rPr>
      </w:pPr>
      <w:r>
        <w:rPr>
          <w:rFonts w:ascii="宋体" w:hAnsi="宋体" w:eastAsia="宋体" w:cs="宋体"/>
          <w:spacing w:val="-1"/>
          <w:sz w:val="24"/>
          <w:szCs w:val="24"/>
        </w:rPr>
        <w:t>4)高低压泵消防车：泵的低压额定压力大于或等于</w:t>
      </w:r>
      <w:r>
        <w:rPr>
          <w:rFonts w:ascii="Times New Roman" w:hAnsi="Times New Roman" w:eastAsia="Times New Roman" w:cs="Times New Roman"/>
          <w:sz w:val="20"/>
          <w:szCs w:val="20"/>
        </w:rPr>
        <w:t>1.00MPa,</w:t>
      </w:r>
      <w:r>
        <w:rPr>
          <w:rFonts w:ascii="宋体" w:hAnsi="宋体" w:eastAsia="宋体" w:cs="宋体"/>
          <w:sz w:val="20"/>
          <w:szCs w:val="20"/>
        </w:rPr>
        <w:t>小于1.40</w:t>
      </w:r>
      <w:r>
        <w:rPr>
          <w:rFonts w:ascii="Times New Roman" w:hAnsi="Times New Roman" w:eastAsia="Times New Roman" w:cs="Times New Roman"/>
          <w:sz w:val="20"/>
          <w:szCs w:val="20"/>
        </w:rPr>
        <w:t>MPa;</w:t>
      </w:r>
      <w:r>
        <w:rPr>
          <w:rFonts w:ascii="宋体" w:hAnsi="宋体" w:eastAsia="宋体" w:cs="宋体"/>
          <w:sz w:val="20"/>
          <w:szCs w:val="20"/>
        </w:rPr>
        <w:t>高压额定压力大于3.50</w:t>
      </w:r>
      <w:r>
        <w:rPr>
          <w:rFonts w:ascii="Times New Roman" w:hAnsi="Times New Roman" w:eastAsia="Times New Roman" w:cs="Times New Roman"/>
          <w:sz w:val="20"/>
          <w:szCs w:val="20"/>
        </w:rPr>
        <w:t>MPa,</w:t>
      </w:r>
      <w:r>
        <w:rPr>
          <w:rFonts w:ascii="宋体" w:hAnsi="宋体" w:eastAsia="宋体" w:cs="宋体"/>
          <w:spacing w:val="-2"/>
          <w:sz w:val="20"/>
          <w:szCs w:val="20"/>
        </w:rPr>
        <w:t>小于等于4.00</w:t>
      </w:r>
      <w:r>
        <w:rPr>
          <w:rFonts w:ascii="Times New Roman" w:hAnsi="Times New Roman" w:eastAsia="Times New Roman" w:cs="Times New Roman"/>
          <w:spacing w:val="-2"/>
          <w:sz w:val="20"/>
          <w:szCs w:val="20"/>
        </w:rPr>
        <w:t>MPa;</w:t>
      </w:r>
      <w:r>
        <w:rPr>
          <w:rFonts w:ascii="宋体" w:hAnsi="宋体" w:eastAsia="宋体" w:cs="宋体"/>
          <w:spacing w:val="-2"/>
          <w:sz w:val="20"/>
          <w:szCs w:val="20"/>
        </w:rPr>
        <w:t>可低压、高压或高</w:t>
      </w:r>
      <w:r>
        <w:rPr>
          <w:rFonts w:ascii="宋体" w:hAnsi="宋体" w:eastAsia="宋体" w:cs="宋体"/>
          <w:spacing w:val="-3"/>
          <w:sz w:val="20"/>
          <w:szCs w:val="20"/>
        </w:rPr>
        <w:t>低压联用。</w:t>
      </w:r>
    </w:p>
    <w:p>
      <w:pPr>
        <w:spacing w:before="70" w:line="268" w:lineRule="auto"/>
        <w:ind w:left="868" w:right="89" w:hanging="259"/>
        <w:rPr>
          <w:rFonts w:ascii="宋体" w:hAnsi="宋体" w:eastAsia="宋体" w:cs="宋体"/>
          <w:sz w:val="20"/>
          <w:szCs w:val="20"/>
        </w:rPr>
      </w:pPr>
      <w:r>
        <w:rPr>
          <w:rFonts w:ascii="宋体" w:hAnsi="宋体" w:eastAsia="宋体" w:cs="宋体"/>
          <w:spacing w:val="7"/>
          <w:sz w:val="20"/>
          <w:szCs w:val="20"/>
        </w:rPr>
        <w:t>5)超高压泵消防车：泵的额定压力大于10.00</w:t>
      </w:r>
      <w:r>
        <w:rPr>
          <w:rFonts w:ascii="Times New Roman" w:hAnsi="Times New Roman" w:eastAsia="Times New Roman" w:cs="Times New Roman"/>
          <w:sz w:val="20"/>
          <w:szCs w:val="20"/>
        </w:rPr>
        <w:t>MPa</w:t>
      </w:r>
      <w:r>
        <w:rPr>
          <w:rFonts w:ascii="Times New Roman" w:hAnsi="Times New Roman" w:eastAsia="Times New Roman" w:cs="Times New Roman"/>
          <w:spacing w:val="7"/>
          <w:sz w:val="20"/>
          <w:szCs w:val="20"/>
        </w:rPr>
        <w:t>,</w:t>
      </w:r>
      <w:r>
        <w:rPr>
          <w:rFonts w:ascii="宋体" w:hAnsi="宋体" w:eastAsia="宋体" w:cs="宋体"/>
          <w:spacing w:val="6"/>
          <w:sz w:val="20"/>
          <w:szCs w:val="20"/>
        </w:rPr>
        <w:t>主要</w:t>
      </w:r>
      <w:r>
        <w:rPr>
          <w:rFonts w:ascii="宋体" w:hAnsi="宋体" w:eastAsia="宋体" w:cs="宋体"/>
          <w:spacing w:val="8"/>
          <w:sz w:val="20"/>
          <w:szCs w:val="20"/>
        </w:rPr>
        <w:t>用于高压喷雾。</w:t>
      </w:r>
    </w:p>
    <w:p>
      <w:pPr>
        <w:spacing w:line="268" w:lineRule="auto"/>
        <w:rPr>
          <w:rFonts w:ascii="宋体" w:hAnsi="宋体" w:eastAsia="宋体" w:cs="宋体"/>
          <w:sz w:val="20"/>
          <w:szCs w:val="20"/>
        </w:rPr>
        <w:sectPr>
          <w:footerReference r:id="rId93" w:type="default"/>
          <w:pgSz w:w="8280" w:h="11850"/>
          <w:pgMar w:top="400" w:right="1139" w:bottom="1326" w:left="1200" w:header="0" w:footer="1014" w:gutter="0"/>
          <w:cols w:space="720" w:num="1"/>
        </w:sectPr>
      </w:pPr>
    </w:p>
    <w:p>
      <w:pPr>
        <w:pStyle w:val="2"/>
        <w:spacing w:line="270" w:lineRule="auto"/>
      </w:pPr>
    </w:p>
    <w:p>
      <w:pPr>
        <w:pStyle w:val="2"/>
        <w:spacing w:line="270" w:lineRule="auto"/>
      </w:pPr>
    </w:p>
    <w:p>
      <w:pPr>
        <w:pStyle w:val="2"/>
        <w:spacing w:line="271" w:lineRule="auto"/>
      </w:pPr>
    </w:p>
    <w:p>
      <w:pPr>
        <w:spacing w:before="68" w:line="219" w:lineRule="auto"/>
        <w:ind w:right="32"/>
        <w:jc w:val="right"/>
        <w:rPr>
          <w:rFonts w:ascii="宋体" w:hAnsi="宋体" w:eastAsia="宋体" w:cs="宋体"/>
          <w:sz w:val="21"/>
          <w:szCs w:val="21"/>
        </w:rPr>
      </w:pPr>
      <w:bookmarkStart w:id="80" w:name="bookmark132"/>
      <w:bookmarkEnd w:id="80"/>
      <w:bookmarkStart w:id="81" w:name="bookmark133"/>
      <w:bookmarkEnd w:id="81"/>
      <w:bookmarkStart w:id="82" w:name="bookmark113"/>
      <w:bookmarkEnd w:id="82"/>
      <w:bookmarkStart w:id="83" w:name="bookmark112"/>
      <w:bookmarkEnd w:id="83"/>
      <w:r>
        <w:rPr>
          <w:rFonts w:ascii="宋体" w:hAnsi="宋体" w:eastAsia="宋体" w:cs="宋体"/>
          <w:b/>
          <w:bCs/>
          <w:spacing w:val="-5"/>
          <w:sz w:val="21"/>
          <w:szCs w:val="21"/>
        </w:rPr>
        <w:t>上海市消防车以中低压泵消防车为主，垂直供水高度最大可</w:t>
      </w:r>
    </w:p>
    <w:p>
      <w:pPr>
        <w:spacing w:before="63" w:line="219" w:lineRule="auto"/>
        <w:rPr>
          <w:rFonts w:ascii="宋体" w:hAnsi="宋体" w:eastAsia="宋体" w:cs="宋体"/>
          <w:sz w:val="21"/>
          <w:szCs w:val="21"/>
        </w:rPr>
      </w:pPr>
      <w:r>
        <w:rPr>
          <w:rFonts w:ascii="宋体" w:hAnsi="宋体" w:eastAsia="宋体" w:cs="宋体"/>
          <w:spacing w:val="8"/>
          <w:sz w:val="21"/>
          <w:szCs w:val="21"/>
        </w:rPr>
        <w:t>按照150</w:t>
      </w:r>
      <w:r>
        <w:rPr>
          <w:rFonts w:ascii="Times New Roman" w:hAnsi="Times New Roman" w:eastAsia="Times New Roman" w:cs="Times New Roman"/>
          <w:spacing w:val="8"/>
          <w:sz w:val="21"/>
          <w:szCs w:val="21"/>
        </w:rPr>
        <w:t>m</w:t>
      </w:r>
      <w:r>
        <w:rPr>
          <w:rFonts w:ascii="宋体" w:hAnsi="宋体" w:eastAsia="宋体" w:cs="宋体"/>
          <w:spacing w:val="8"/>
          <w:sz w:val="21"/>
          <w:szCs w:val="21"/>
        </w:rPr>
        <w:t>考虑。</w:t>
      </w:r>
    </w:p>
    <w:p>
      <w:pPr>
        <w:spacing w:before="70" w:line="273" w:lineRule="auto"/>
        <w:ind w:right="24"/>
        <w:jc w:val="both"/>
        <w:rPr>
          <w:rFonts w:ascii="宋体" w:hAnsi="宋体" w:eastAsia="宋体" w:cs="宋体"/>
          <w:sz w:val="21"/>
          <w:szCs w:val="21"/>
        </w:rPr>
      </w:pPr>
      <w:r>
        <w:rPr>
          <w:rFonts w:ascii="Times New Roman" w:hAnsi="Times New Roman" w:eastAsia="Times New Roman" w:cs="Times New Roman"/>
          <w:spacing w:val="3"/>
          <w:sz w:val="21"/>
          <w:szCs w:val="21"/>
        </w:rPr>
        <w:t>4.4.7</w:t>
      </w:r>
      <w:r>
        <w:rPr>
          <w:rFonts w:ascii="宋体" w:hAnsi="宋体" w:eastAsia="宋体" w:cs="宋体"/>
          <w:spacing w:val="3"/>
          <w:sz w:val="21"/>
          <w:szCs w:val="21"/>
        </w:rPr>
        <w:t>采用高位消防水池高压供水系统，通常其所服务的水灭</w:t>
      </w:r>
      <w:r>
        <w:rPr>
          <w:rFonts w:ascii="宋体" w:hAnsi="宋体" w:eastAsia="宋体" w:cs="宋体"/>
          <w:spacing w:val="4"/>
          <w:sz w:val="21"/>
          <w:szCs w:val="21"/>
        </w:rPr>
        <w:t>火设施距高位消防水池最低有效液位高差约50</w:t>
      </w:r>
      <w:r>
        <w:rPr>
          <w:rFonts w:ascii="Times New Roman" w:hAnsi="Times New Roman" w:eastAsia="Times New Roman" w:cs="Times New Roman"/>
          <w:spacing w:val="4"/>
          <w:sz w:val="21"/>
          <w:szCs w:val="21"/>
        </w:rPr>
        <w:t>m</w:t>
      </w:r>
      <w:r>
        <w:rPr>
          <w:rFonts w:ascii="Times New Roman" w:hAnsi="Times New Roman" w:eastAsia="Times New Roman" w:cs="Times New Roman"/>
          <w:spacing w:val="3"/>
          <w:sz w:val="21"/>
          <w:szCs w:val="21"/>
        </w:rPr>
        <w:t>,</w:t>
      </w:r>
      <w:r>
        <w:rPr>
          <w:rFonts w:ascii="宋体" w:hAnsi="宋体" w:eastAsia="宋体" w:cs="宋体"/>
          <w:spacing w:val="3"/>
          <w:sz w:val="21"/>
          <w:szCs w:val="21"/>
        </w:rPr>
        <w:t>对于此段高差</w:t>
      </w:r>
      <w:r>
        <w:rPr>
          <w:rFonts w:ascii="宋体" w:hAnsi="宋体" w:eastAsia="宋体" w:cs="宋体"/>
          <w:spacing w:val="-1"/>
          <w:sz w:val="21"/>
          <w:szCs w:val="21"/>
        </w:rPr>
        <w:t>内采用临时高压消防给水系统服务区段，根据现</w:t>
      </w:r>
      <w:r>
        <w:rPr>
          <w:rFonts w:ascii="宋体" w:hAnsi="宋体" w:eastAsia="宋体" w:cs="宋体"/>
          <w:spacing w:val="-2"/>
          <w:sz w:val="21"/>
          <w:szCs w:val="21"/>
        </w:rPr>
        <w:t>行国家标准《消</w:t>
      </w:r>
      <w:r>
        <w:rPr>
          <w:rFonts w:ascii="宋体" w:hAnsi="宋体" w:eastAsia="宋体" w:cs="宋体"/>
          <w:spacing w:val="-4"/>
          <w:sz w:val="21"/>
          <w:szCs w:val="21"/>
        </w:rPr>
        <w:t>防给水及消火栓系统技术规范》GB50974的规定，公共建筑不应</w:t>
      </w:r>
      <w:r>
        <w:rPr>
          <w:rFonts w:ascii="宋体" w:hAnsi="宋体" w:eastAsia="宋体" w:cs="宋体"/>
          <w:spacing w:val="4"/>
          <w:sz w:val="21"/>
          <w:szCs w:val="21"/>
        </w:rPr>
        <w:t>小于36</w:t>
      </w:r>
      <w:r>
        <w:rPr>
          <w:rFonts w:ascii="Times New Roman" w:hAnsi="Times New Roman" w:eastAsia="Times New Roman" w:cs="Times New Roman"/>
          <w:spacing w:val="4"/>
          <w:sz w:val="21"/>
          <w:szCs w:val="21"/>
        </w:rPr>
        <w:t>m³,</w:t>
      </w:r>
      <w:r>
        <w:rPr>
          <w:rFonts w:ascii="宋体" w:hAnsi="宋体" w:eastAsia="宋体" w:cs="宋体"/>
          <w:spacing w:val="4"/>
          <w:sz w:val="21"/>
          <w:szCs w:val="21"/>
        </w:rPr>
        <w:t>住宅不应小于18</w:t>
      </w:r>
      <w:r>
        <w:rPr>
          <w:rFonts w:ascii="Times New Roman" w:hAnsi="Times New Roman" w:eastAsia="Times New Roman" w:cs="Times New Roman"/>
          <w:spacing w:val="4"/>
          <w:sz w:val="21"/>
          <w:szCs w:val="21"/>
        </w:rPr>
        <w:t>m³</w:t>
      </w:r>
      <w:r>
        <w:rPr>
          <w:rFonts w:ascii="宋体" w:hAnsi="宋体" w:eastAsia="宋体" w:cs="宋体"/>
          <w:spacing w:val="4"/>
          <w:sz w:val="21"/>
          <w:szCs w:val="21"/>
        </w:rPr>
        <w:t>。高</w:t>
      </w:r>
      <w:r>
        <w:rPr>
          <w:rFonts w:ascii="宋体" w:hAnsi="宋体" w:eastAsia="宋体" w:cs="宋体"/>
          <w:spacing w:val="3"/>
          <w:sz w:val="21"/>
          <w:szCs w:val="21"/>
        </w:rPr>
        <w:t>位消防水箱最低有效水位应</w:t>
      </w:r>
      <w:r>
        <w:rPr>
          <w:rFonts w:ascii="宋体" w:hAnsi="宋体" w:eastAsia="宋体" w:cs="宋体"/>
          <w:spacing w:val="-2"/>
          <w:sz w:val="21"/>
          <w:szCs w:val="21"/>
        </w:rPr>
        <w:t>高于其服务的水灭火设施。</w:t>
      </w:r>
    </w:p>
    <w:p>
      <w:pPr>
        <w:spacing w:before="73" w:line="188"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4.4.8</w:t>
      </w:r>
    </w:p>
    <w:p>
      <w:pPr>
        <w:spacing w:before="66" w:line="281" w:lineRule="auto"/>
        <w:ind w:right="12" w:firstLine="429"/>
        <w:jc w:val="both"/>
        <w:rPr>
          <w:rFonts w:ascii="宋体" w:hAnsi="宋体" w:eastAsia="宋体" w:cs="宋体"/>
          <w:sz w:val="21"/>
          <w:szCs w:val="21"/>
        </w:rPr>
      </w:pPr>
      <w:r>
        <w:rPr>
          <w:rFonts w:ascii="宋体" w:hAnsi="宋体" w:eastAsia="宋体" w:cs="宋体"/>
          <w:spacing w:val="7"/>
          <w:sz w:val="21"/>
          <w:szCs w:val="21"/>
        </w:rPr>
        <w:t>第1款根据现行国家标准《消防给水及消火栓</w:t>
      </w:r>
      <w:r>
        <w:rPr>
          <w:rFonts w:ascii="宋体" w:hAnsi="宋体" w:eastAsia="宋体" w:cs="宋体"/>
          <w:spacing w:val="6"/>
          <w:sz w:val="21"/>
          <w:szCs w:val="21"/>
        </w:rPr>
        <w:t>系统技术规</w:t>
      </w:r>
      <w:r>
        <w:rPr>
          <w:rFonts w:ascii="宋体" w:hAnsi="宋体" w:eastAsia="宋体" w:cs="宋体"/>
          <w:spacing w:val="-3"/>
          <w:sz w:val="21"/>
          <w:szCs w:val="21"/>
        </w:rPr>
        <w:t>范》</w:t>
      </w:r>
      <w:r>
        <w:rPr>
          <w:rFonts w:ascii="Times New Roman" w:hAnsi="Times New Roman" w:eastAsia="Times New Roman" w:cs="Times New Roman"/>
          <w:spacing w:val="-3"/>
          <w:sz w:val="21"/>
          <w:szCs w:val="21"/>
        </w:rPr>
        <w:t>GB50974</w:t>
      </w:r>
      <w:r>
        <w:rPr>
          <w:rFonts w:ascii="宋体" w:hAnsi="宋体" w:eastAsia="宋体" w:cs="宋体"/>
          <w:spacing w:val="-3"/>
          <w:sz w:val="21"/>
          <w:szCs w:val="21"/>
        </w:rPr>
        <w:t>规定，当消防供水管</w:t>
      </w:r>
      <w:r>
        <w:rPr>
          <w:rFonts w:ascii="宋体" w:hAnsi="宋体" w:eastAsia="宋体" w:cs="宋体"/>
          <w:spacing w:val="-4"/>
          <w:sz w:val="21"/>
          <w:szCs w:val="21"/>
        </w:rPr>
        <w:t>网为枝状时，其管道上的减压</w:t>
      </w:r>
      <w:r>
        <w:rPr>
          <w:rFonts w:ascii="宋体" w:hAnsi="宋体" w:eastAsia="宋体" w:cs="宋体"/>
          <w:spacing w:val="-1"/>
          <w:sz w:val="21"/>
          <w:szCs w:val="21"/>
        </w:rPr>
        <w:t>阀组应设备用；当消防供水管网为两路进水环状管网时，其管道上的减压阀组宜为一用一备。</w:t>
      </w:r>
    </w:p>
    <w:p>
      <w:pPr>
        <w:spacing w:line="285" w:lineRule="auto"/>
        <w:ind w:right="4" w:firstLine="429"/>
        <w:rPr>
          <w:rFonts w:ascii="宋体" w:hAnsi="宋体" w:eastAsia="宋体" w:cs="宋体"/>
          <w:sz w:val="21"/>
          <w:szCs w:val="21"/>
        </w:rPr>
      </w:pPr>
      <w:r>
        <w:rPr>
          <w:rFonts w:ascii="宋体" w:hAnsi="宋体" w:eastAsia="宋体" w:cs="宋体"/>
          <w:spacing w:val="14"/>
          <w:sz w:val="21"/>
          <w:szCs w:val="21"/>
        </w:rPr>
        <w:t>第2款减压阀的设置不会影响屋顶水箱和水泵接合器的</w:t>
      </w:r>
      <w:r>
        <w:rPr>
          <w:rFonts w:ascii="宋体" w:hAnsi="宋体" w:eastAsia="宋体" w:cs="宋体"/>
          <w:spacing w:val="-12"/>
          <w:sz w:val="21"/>
          <w:szCs w:val="21"/>
        </w:rPr>
        <w:t>工作，故可多区合用。</w:t>
      </w:r>
    </w:p>
    <w:p>
      <w:pPr>
        <w:spacing w:before="3" w:line="273" w:lineRule="auto"/>
        <w:ind w:firstLine="429"/>
        <w:jc w:val="both"/>
        <w:rPr>
          <w:rFonts w:ascii="宋体" w:hAnsi="宋体" w:eastAsia="宋体" w:cs="宋体"/>
          <w:sz w:val="21"/>
          <w:szCs w:val="21"/>
        </w:rPr>
      </w:pPr>
      <w:r>
        <w:rPr>
          <w:rFonts w:ascii="宋体" w:hAnsi="宋体" w:eastAsia="宋体" w:cs="宋体"/>
          <w:spacing w:val="9"/>
          <w:sz w:val="21"/>
          <w:szCs w:val="21"/>
        </w:rPr>
        <w:t>第3款建筑高度大于100</w:t>
      </w:r>
      <w:r>
        <w:rPr>
          <w:rFonts w:ascii="Times New Roman" w:hAnsi="Times New Roman" w:eastAsia="Times New Roman" w:cs="Times New Roman"/>
          <w:spacing w:val="9"/>
          <w:sz w:val="21"/>
          <w:szCs w:val="21"/>
        </w:rPr>
        <w:t>m</w:t>
      </w:r>
      <w:r>
        <w:rPr>
          <w:rFonts w:ascii="宋体" w:hAnsi="宋体" w:eastAsia="宋体" w:cs="宋体"/>
          <w:spacing w:val="9"/>
          <w:sz w:val="21"/>
          <w:szCs w:val="21"/>
        </w:rPr>
        <w:t>时，如减压阀采用比例式，当</w:t>
      </w:r>
      <w:r>
        <w:rPr>
          <w:rFonts w:ascii="宋体" w:hAnsi="宋体" w:eastAsia="宋体" w:cs="宋体"/>
          <w:spacing w:val="2"/>
          <w:sz w:val="21"/>
          <w:szCs w:val="21"/>
        </w:rPr>
        <w:t>水泵接合器供水时，即使是低区部位，也需要用2辆消防车串联</w:t>
      </w:r>
      <w:r>
        <w:rPr>
          <w:rFonts w:ascii="宋体" w:hAnsi="宋体" w:eastAsia="宋体" w:cs="宋体"/>
          <w:spacing w:val="-9"/>
          <w:sz w:val="21"/>
          <w:szCs w:val="21"/>
        </w:rPr>
        <w:t>供水，不太合理，故建议采用可调式减压阀，可合理控制减压阀后</w:t>
      </w:r>
      <w:r>
        <w:rPr>
          <w:rFonts w:ascii="宋体" w:hAnsi="宋体" w:eastAsia="宋体" w:cs="宋体"/>
          <w:spacing w:val="7"/>
          <w:sz w:val="21"/>
          <w:szCs w:val="21"/>
        </w:rPr>
        <w:t>低区系统压力。减压阀最多两级串联。当需采用两级减压</w:t>
      </w:r>
      <w:r>
        <w:rPr>
          <w:rFonts w:ascii="宋体" w:hAnsi="宋体" w:eastAsia="宋体" w:cs="宋体"/>
          <w:spacing w:val="6"/>
          <w:sz w:val="21"/>
          <w:szCs w:val="21"/>
        </w:rPr>
        <w:t>阀串</w:t>
      </w:r>
      <w:r>
        <w:rPr>
          <w:rFonts w:ascii="宋体" w:hAnsi="宋体" w:eastAsia="宋体" w:cs="宋体"/>
          <w:spacing w:val="-1"/>
          <w:sz w:val="21"/>
          <w:szCs w:val="21"/>
        </w:rPr>
        <w:t>联减压分区时，通常采用两级减压阀串联方式或采用防气蚀大压</w:t>
      </w:r>
      <w:r>
        <w:rPr>
          <w:rFonts w:ascii="宋体" w:hAnsi="宋体" w:eastAsia="宋体" w:cs="宋体"/>
          <w:spacing w:val="-2"/>
          <w:sz w:val="21"/>
          <w:szCs w:val="21"/>
        </w:rPr>
        <w:t>差可调式减压阀。考虑可能发生谐振现象，串联减压阀宜采用比</w:t>
      </w:r>
      <w:r>
        <w:rPr>
          <w:rFonts w:ascii="宋体" w:hAnsi="宋体" w:eastAsia="宋体" w:cs="宋体"/>
          <w:spacing w:val="6"/>
          <w:sz w:val="21"/>
          <w:szCs w:val="21"/>
        </w:rPr>
        <w:t>例式减压阀在前加可调式减压阀在后的串联减压方式。比例式</w:t>
      </w:r>
      <w:r>
        <w:rPr>
          <w:rFonts w:ascii="宋体" w:hAnsi="宋体" w:eastAsia="宋体" w:cs="宋体"/>
          <w:spacing w:val="-7"/>
          <w:sz w:val="21"/>
          <w:szCs w:val="21"/>
        </w:rPr>
        <w:t>减压阀宜垂直安装，可调式减压阀宜水平安装。</w:t>
      </w:r>
    </w:p>
    <w:p>
      <w:pPr>
        <w:spacing w:before="37" w:line="273" w:lineRule="auto"/>
        <w:ind w:right="13" w:firstLine="429"/>
        <w:jc w:val="both"/>
        <w:rPr>
          <w:rFonts w:ascii="宋体" w:hAnsi="宋体" w:eastAsia="宋体" w:cs="宋体"/>
          <w:sz w:val="21"/>
          <w:szCs w:val="21"/>
        </w:rPr>
      </w:pPr>
      <w:r>
        <w:rPr>
          <w:rFonts w:ascii="宋体" w:hAnsi="宋体" w:eastAsia="宋体" w:cs="宋体"/>
          <w:spacing w:val="-2"/>
          <w:sz w:val="21"/>
          <w:szCs w:val="21"/>
        </w:rPr>
        <w:t>第4款限制比例式减压阀的减压比，是为了防止阀内产生汽蚀损坏减压阀，同时减少振动及噪声。当采用防气蚀大压差可</w:t>
      </w:r>
      <w:r>
        <w:rPr>
          <w:rFonts w:ascii="宋体" w:hAnsi="宋体" w:eastAsia="宋体" w:cs="宋体"/>
          <w:spacing w:val="6"/>
          <w:sz w:val="21"/>
          <w:szCs w:val="21"/>
        </w:rPr>
        <w:t>调减压阀时，需控制阀前动压与阀后动压之比不应大于</w:t>
      </w:r>
      <w:r>
        <w:rPr>
          <w:rFonts w:ascii="宋体" w:hAnsi="宋体" w:eastAsia="宋体" w:cs="宋体"/>
          <w:spacing w:val="5"/>
          <w:sz w:val="21"/>
          <w:szCs w:val="21"/>
        </w:rPr>
        <w:t>9:1,减</w:t>
      </w:r>
      <w:r>
        <w:rPr>
          <w:rFonts w:ascii="宋体" w:hAnsi="宋体" w:eastAsia="宋体" w:cs="宋体"/>
          <w:spacing w:val="-2"/>
          <w:sz w:val="21"/>
          <w:szCs w:val="21"/>
        </w:rPr>
        <w:t>压阀组的出口端应设置泄压阀，阀组后应在干管设置超压报警装</w:t>
      </w:r>
      <w:r>
        <w:rPr>
          <w:rFonts w:ascii="宋体" w:hAnsi="宋体" w:eastAsia="宋体" w:cs="宋体"/>
          <w:spacing w:val="-1"/>
          <w:sz w:val="21"/>
          <w:szCs w:val="21"/>
        </w:rPr>
        <w:t>置，具体可参考现行中国工程建设协会标准《防气</w:t>
      </w:r>
      <w:r>
        <w:rPr>
          <w:rFonts w:ascii="宋体" w:hAnsi="宋体" w:eastAsia="宋体" w:cs="宋体"/>
          <w:spacing w:val="-2"/>
          <w:sz w:val="21"/>
          <w:szCs w:val="21"/>
        </w:rPr>
        <w:t>蚀大压差可调</w:t>
      </w:r>
      <w:r>
        <w:rPr>
          <w:rFonts w:ascii="宋体" w:hAnsi="宋体" w:eastAsia="宋体" w:cs="宋体"/>
          <w:spacing w:val="-5"/>
          <w:sz w:val="21"/>
          <w:szCs w:val="21"/>
        </w:rPr>
        <w:t>减压阀应用技术规程》</w:t>
      </w:r>
      <w:r>
        <w:rPr>
          <w:rFonts w:ascii="Times New Roman" w:hAnsi="Times New Roman" w:eastAsia="Times New Roman" w:cs="Times New Roman"/>
          <w:spacing w:val="-5"/>
          <w:sz w:val="21"/>
          <w:szCs w:val="21"/>
        </w:rPr>
        <w:t>CECS442</w:t>
      </w:r>
      <w:r>
        <w:rPr>
          <w:rFonts w:ascii="宋体" w:hAnsi="宋体" w:eastAsia="宋体" w:cs="宋体"/>
          <w:spacing w:val="-5"/>
          <w:sz w:val="21"/>
          <w:szCs w:val="21"/>
        </w:rPr>
        <w:t>的相关规定。</w:t>
      </w:r>
    </w:p>
    <w:p>
      <w:pPr>
        <w:spacing w:line="273" w:lineRule="auto"/>
        <w:rPr>
          <w:rFonts w:ascii="宋体" w:hAnsi="宋体" w:eastAsia="宋体" w:cs="宋体"/>
          <w:sz w:val="21"/>
          <w:szCs w:val="21"/>
        </w:rPr>
        <w:sectPr>
          <w:footerReference r:id="rId94" w:type="default"/>
          <w:pgSz w:w="8280" w:h="11850"/>
          <w:pgMar w:top="400" w:right="1209" w:bottom="1350" w:left="1200" w:header="0" w:footer="1077" w:gutter="0"/>
          <w:cols w:space="720" w:num="1"/>
        </w:sectPr>
      </w:pPr>
    </w:p>
    <w:p>
      <w:pPr>
        <w:pStyle w:val="2"/>
        <w:spacing w:line="286" w:lineRule="auto"/>
      </w:pPr>
    </w:p>
    <w:p>
      <w:pPr>
        <w:pStyle w:val="2"/>
        <w:spacing w:line="286" w:lineRule="auto"/>
      </w:pPr>
    </w:p>
    <w:p>
      <w:pPr>
        <w:pStyle w:val="2"/>
        <w:spacing w:line="286" w:lineRule="auto"/>
      </w:pPr>
    </w:p>
    <w:p>
      <w:pPr>
        <w:pStyle w:val="2"/>
        <w:spacing w:line="287" w:lineRule="auto"/>
      </w:pPr>
    </w:p>
    <w:p>
      <w:pPr>
        <w:pStyle w:val="2"/>
        <w:spacing w:line="287" w:lineRule="auto"/>
      </w:pPr>
    </w:p>
    <w:p>
      <w:pPr>
        <w:spacing w:before="94" w:line="221" w:lineRule="auto"/>
        <w:ind w:left="2044"/>
        <w:rPr>
          <w:rFonts w:ascii="黑体" w:hAnsi="黑体" w:eastAsia="黑体" w:cs="黑体"/>
          <w:sz w:val="29"/>
          <w:szCs w:val="29"/>
        </w:rPr>
      </w:pPr>
      <w:r>
        <w:rPr>
          <w:rFonts w:ascii="宋体" w:hAnsi="宋体" w:eastAsia="宋体" w:cs="宋体"/>
          <w:b/>
          <w:bCs/>
          <w:spacing w:val="-12"/>
          <w:sz w:val="29"/>
          <w:szCs w:val="29"/>
        </w:rPr>
        <w:t>5</w:t>
      </w:r>
      <w:r>
        <w:rPr>
          <w:rFonts w:ascii="黑体" w:hAnsi="黑体" w:eastAsia="黑体" w:cs="黑体"/>
          <w:b/>
          <w:bCs/>
          <w:spacing w:val="-12"/>
          <w:sz w:val="29"/>
          <w:szCs w:val="29"/>
        </w:rPr>
        <w:t>消火栓系统</w:t>
      </w:r>
    </w:p>
    <w:p>
      <w:pPr>
        <w:pStyle w:val="2"/>
        <w:spacing w:line="301" w:lineRule="auto"/>
      </w:pPr>
    </w:p>
    <w:p>
      <w:pPr>
        <w:pStyle w:val="2"/>
        <w:spacing w:line="301" w:lineRule="auto"/>
      </w:pPr>
    </w:p>
    <w:p>
      <w:pPr>
        <w:spacing w:before="65" w:line="221" w:lineRule="auto"/>
        <w:ind w:left="2262"/>
        <w:rPr>
          <w:rFonts w:ascii="黑体" w:hAnsi="黑体" w:eastAsia="黑体" w:cs="黑体"/>
          <w:sz w:val="20"/>
          <w:szCs w:val="20"/>
        </w:rPr>
      </w:pPr>
      <w:r>
        <w:rPr>
          <w:rFonts w:ascii="宋体" w:hAnsi="宋体" w:eastAsia="宋体" w:cs="宋体"/>
          <w:b/>
          <w:bCs/>
          <w:spacing w:val="2"/>
          <w:sz w:val="20"/>
          <w:szCs w:val="20"/>
        </w:rPr>
        <w:t>5.1</w:t>
      </w:r>
      <w:r>
        <w:rPr>
          <w:rFonts w:ascii="黑体" w:hAnsi="黑体" w:eastAsia="黑体" w:cs="黑体"/>
          <w:b/>
          <w:bCs/>
          <w:spacing w:val="2"/>
          <w:sz w:val="20"/>
          <w:szCs w:val="20"/>
        </w:rPr>
        <w:t>一般规定</w:t>
      </w:r>
    </w:p>
    <w:p>
      <w:pPr>
        <w:pStyle w:val="2"/>
        <w:spacing w:line="324" w:lineRule="auto"/>
      </w:pPr>
    </w:p>
    <w:p>
      <w:pPr>
        <w:spacing w:before="65" w:line="287" w:lineRule="auto"/>
        <w:ind w:right="80"/>
        <w:jc w:val="both"/>
        <w:rPr>
          <w:rFonts w:ascii="宋体" w:hAnsi="宋体" w:eastAsia="宋体" w:cs="宋体"/>
          <w:sz w:val="20"/>
          <w:szCs w:val="20"/>
        </w:rPr>
      </w:pPr>
      <w:r>
        <w:rPr>
          <w:rFonts w:ascii="宋体" w:hAnsi="宋体" w:eastAsia="宋体" w:cs="宋体"/>
          <w:spacing w:val="11"/>
          <w:sz w:val="20"/>
          <w:szCs w:val="20"/>
        </w:rPr>
        <w:t>5.1.1上海地区一般室外消火栓由城市管网供应，火灾时由消</w:t>
      </w:r>
      <w:r>
        <w:rPr>
          <w:rFonts w:ascii="宋体" w:hAnsi="宋体" w:eastAsia="宋体" w:cs="宋体"/>
          <w:spacing w:val="9"/>
          <w:sz w:val="20"/>
          <w:szCs w:val="20"/>
        </w:rPr>
        <w:t>防车加压。某些地区，如仅有一路市政供水时，当</w:t>
      </w:r>
      <w:r>
        <w:rPr>
          <w:rFonts w:ascii="宋体" w:hAnsi="宋体" w:eastAsia="宋体" w:cs="宋体"/>
          <w:spacing w:val="8"/>
          <w:sz w:val="20"/>
          <w:szCs w:val="20"/>
        </w:rPr>
        <w:t>室内外消防给</w:t>
      </w:r>
      <w:r>
        <w:rPr>
          <w:rFonts w:ascii="宋体" w:hAnsi="宋体" w:eastAsia="宋体" w:cs="宋体"/>
          <w:spacing w:val="9"/>
          <w:sz w:val="20"/>
          <w:szCs w:val="20"/>
        </w:rPr>
        <w:t>水系统供水压力相近，为减少供水管道，可采用室内室</w:t>
      </w:r>
      <w:r>
        <w:rPr>
          <w:rFonts w:ascii="宋体" w:hAnsi="宋体" w:eastAsia="宋体" w:cs="宋体"/>
          <w:spacing w:val="8"/>
          <w:sz w:val="20"/>
          <w:szCs w:val="20"/>
        </w:rPr>
        <w:t>外消火栓</w:t>
      </w:r>
      <w:r>
        <w:rPr>
          <w:rFonts w:ascii="宋体" w:hAnsi="宋体" w:eastAsia="宋体" w:cs="宋体"/>
          <w:spacing w:val="9"/>
          <w:sz w:val="20"/>
          <w:szCs w:val="20"/>
        </w:rPr>
        <w:t>系统合用供水形式，但需确保通过水泵接合器接入室内消防管网的水不回流至室外管网，室内消防给水引入管上应设止</w:t>
      </w:r>
      <w:r>
        <w:rPr>
          <w:rFonts w:ascii="宋体" w:hAnsi="宋体" w:eastAsia="宋体" w:cs="宋体"/>
          <w:spacing w:val="8"/>
          <w:sz w:val="20"/>
          <w:szCs w:val="20"/>
        </w:rPr>
        <w:t>回阀，水</w:t>
      </w:r>
      <w:r>
        <w:rPr>
          <w:rFonts w:ascii="宋体" w:hAnsi="宋体" w:eastAsia="宋体" w:cs="宋体"/>
          <w:spacing w:val="16"/>
          <w:sz w:val="20"/>
          <w:szCs w:val="20"/>
        </w:rPr>
        <w:t>泵接合器也应连接在止回阀下游管段上。高位消防水箱出水管</w:t>
      </w:r>
      <w:r>
        <w:rPr>
          <w:rFonts w:ascii="宋体" w:hAnsi="宋体" w:eastAsia="宋体" w:cs="宋体"/>
          <w:spacing w:val="7"/>
          <w:sz w:val="20"/>
          <w:szCs w:val="20"/>
        </w:rPr>
        <w:t>也要采取防回流措施单独接入室外管网。</w:t>
      </w:r>
    </w:p>
    <w:p>
      <w:pPr>
        <w:pStyle w:val="2"/>
        <w:spacing w:line="296" w:lineRule="auto"/>
      </w:pPr>
    </w:p>
    <w:p>
      <w:pPr>
        <w:spacing w:before="65" w:line="222" w:lineRule="auto"/>
        <w:ind w:left="2042"/>
        <w:rPr>
          <w:rFonts w:ascii="黑体" w:hAnsi="黑体" w:eastAsia="黑体" w:cs="黑体"/>
          <w:sz w:val="20"/>
          <w:szCs w:val="20"/>
        </w:rPr>
      </w:pPr>
      <w:r>
        <w:rPr>
          <w:rFonts w:ascii="宋体" w:hAnsi="宋体" w:eastAsia="宋体" w:cs="宋体"/>
          <w:b/>
          <w:bCs/>
          <w:spacing w:val="3"/>
          <w:sz w:val="20"/>
          <w:szCs w:val="20"/>
        </w:rPr>
        <w:t>5.2</w:t>
      </w:r>
      <w:r>
        <w:rPr>
          <w:rFonts w:ascii="黑体" w:hAnsi="黑体" w:eastAsia="黑体" w:cs="黑体"/>
          <w:b/>
          <w:bCs/>
          <w:spacing w:val="3"/>
          <w:sz w:val="20"/>
          <w:szCs w:val="20"/>
        </w:rPr>
        <w:t>消火栓用水量</w:t>
      </w:r>
    </w:p>
    <w:p>
      <w:pPr>
        <w:pStyle w:val="2"/>
        <w:spacing w:line="328" w:lineRule="auto"/>
      </w:pPr>
    </w:p>
    <w:p>
      <w:pPr>
        <w:spacing w:before="65" w:line="269" w:lineRule="auto"/>
        <w:rPr>
          <w:rFonts w:ascii="宋体" w:hAnsi="宋体" w:eastAsia="宋体" w:cs="宋体"/>
          <w:sz w:val="20"/>
          <w:szCs w:val="20"/>
        </w:rPr>
      </w:pPr>
      <w:r>
        <w:rPr>
          <w:rFonts w:ascii="宋体" w:hAnsi="宋体" w:eastAsia="宋体" w:cs="宋体"/>
          <w:spacing w:val="13"/>
          <w:sz w:val="20"/>
          <w:szCs w:val="20"/>
        </w:rPr>
        <w:t>5.2.1表5.2.1综合了现行国家标准《消防给水及消火栓系统</w:t>
      </w:r>
      <w:r>
        <w:rPr>
          <w:rFonts w:ascii="宋体" w:hAnsi="宋体" w:eastAsia="宋体" w:cs="宋体"/>
          <w:sz w:val="20"/>
          <w:szCs w:val="20"/>
        </w:rPr>
        <w:t>技术规范》</w:t>
      </w:r>
      <w:r>
        <w:rPr>
          <w:rFonts w:ascii="Times New Roman" w:hAnsi="Times New Roman" w:eastAsia="Times New Roman" w:cs="Times New Roman"/>
          <w:sz w:val="20"/>
          <w:szCs w:val="20"/>
        </w:rPr>
        <w:t>GB50974</w:t>
      </w:r>
      <w:r>
        <w:rPr>
          <w:rFonts w:ascii="宋体" w:hAnsi="宋体" w:eastAsia="宋体" w:cs="宋体"/>
          <w:sz w:val="20"/>
          <w:szCs w:val="20"/>
        </w:rPr>
        <w:t>和《汽车库、修车库、停车库设计防火规范》GB</w:t>
      </w:r>
      <w:r>
        <w:rPr>
          <w:rFonts w:ascii="宋体" w:hAnsi="宋体" w:eastAsia="宋体" w:cs="宋体"/>
          <w:spacing w:val="5"/>
          <w:sz w:val="20"/>
          <w:szCs w:val="20"/>
        </w:rPr>
        <w:t>50067以及《电动自行车集中充电和停放</w:t>
      </w:r>
      <w:r>
        <w:rPr>
          <w:rFonts w:ascii="宋体" w:hAnsi="宋体" w:eastAsia="宋体" w:cs="宋体"/>
          <w:spacing w:val="4"/>
          <w:sz w:val="20"/>
          <w:szCs w:val="20"/>
        </w:rPr>
        <w:t>场所》</w:t>
      </w:r>
      <w:r>
        <w:rPr>
          <w:rFonts w:ascii="宋体" w:hAnsi="宋体" w:eastAsia="宋体" w:cs="宋体"/>
          <w:sz w:val="20"/>
          <w:szCs w:val="20"/>
        </w:rPr>
        <w:t>DG</w:t>
      </w:r>
      <w:r>
        <w:rPr>
          <w:rFonts w:ascii="宋体" w:hAnsi="宋体" w:eastAsia="宋体" w:cs="宋体"/>
          <w:spacing w:val="4"/>
          <w:sz w:val="20"/>
          <w:szCs w:val="20"/>
        </w:rPr>
        <w:t>/</w:t>
      </w:r>
      <w:r>
        <w:rPr>
          <w:rFonts w:ascii="宋体" w:hAnsi="宋体" w:eastAsia="宋体" w:cs="宋体"/>
          <w:sz w:val="20"/>
          <w:szCs w:val="20"/>
        </w:rPr>
        <w:t>TJ</w:t>
      </w:r>
      <w:r>
        <w:rPr>
          <w:rFonts w:ascii="宋体" w:hAnsi="宋体" w:eastAsia="宋体" w:cs="宋体"/>
          <w:spacing w:val="4"/>
          <w:sz w:val="20"/>
          <w:szCs w:val="20"/>
        </w:rPr>
        <w:t>08—</w:t>
      </w:r>
      <w:r>
        <w:rPr>
          <w:rFonts w:ascii="宋体" w:hAnsi="宋体" w:eastAsia="宋体" w:cs="宋体"/>
          <w:spacing w:val="10"/>
          <w:sz w:val="20"/>
          <w:szCs w:val="20"/>
        </w:rPr>
        <w:t>2451对建筑物室外消火栓设计流量的规定。</w:t>
      </w:r>
    </w:p>
    <w:p>
      <w:pPr>
        <w:spacing w:before="100" w:line="285" w:lineRule="auto"/>
        <w:rPr>
          <w:rFonts w:ascii="宋体" w:hAnsi="宋体" w:eastAsia="宋体" w:cs="宋体"/>
          <w:sz w:val="20"/>
          <w:szCs w:val="20"/>
        </w:rPr>
      </w:pPr>
      <w:r>
        <w:rPr>
          <w:rFonts w:ascii="宋体" w:hAnsi="宋体" w:eastAsia="宋体" w:cs="宋体"/>
          <w:spacing w:val="11"/>
          <w:sz w:val="20"/>
          <w:szCs w:val="20"/>
        </w:rPr>
        <w:t>5.2.2综合楼的术语源于原国家标准《高层民用建筑设计防火</w:t>
      </w:r>
      <w:r>
        <w:rPr>
          <w:rFonts w:ascii="宋体" w:hAnsi="宋体" w:eastAsia="宋体" w:cs="宋体"/>
          <w:spacing w:val="-3"/>
          <w:sz w:val="20"/>
          <w:szCs w:val="20"/>
        </w:rPr>
        <w:t>规范》</w:t>
      </w:r>
      <w:r>
        <w:rPr>
          <w:rFonts w:ascii="Times New Roman" w:hAnsi="Times New Roman" w:eastAsia="Times New Roman" w:cs="Times New Roman"/>
          <w:spacing w:val="-3"/>
          <w:sz w:val="20"/>
          <w:szCs w:val="20"/>
        </w:rPr>
        <w:t>GB50045,</w:t>
      </w:r>
      <w:r>
        <w:rPr>
          <w:rFonts w:ascii="宋体" w:hAnsi="宋体" w:eastAsia="宋体" w:cs="宋体"/>
          <w:spacing w:val="-3"/>
          <w:sz w:val="20"/>
          <w:szCs w:val="20"/>
        </w:rPr>
        <w:t>现行国家标准《建筑防火设计</w:t>
      </w:r>
      <w:r>
        <w:rPr>
          <w:rFonts w:ascii="宋体" w:hAnsi="宋体" w:eastAsia="宋体" w:cs="宋体"/>
          <w:spacing w:val="-4"/>
          <w:sz w:val="20"/>
          <w:szCs w:val="20"/>
        </w:rPr>
        <w:t>规范》</w:t>
      </w:r>
      <w:r>
        <w:rPr>
          <w:rFonts w:ascii="Times New Roman" w:hAnsi="Times New Roman" w:eastAsia="Times New Roman" w:cs="Times New Roman"/>
          <w:spacing w:val="-4"/>
          <w:sz w:val="20"/>
          <w:szCs w:val="20"/>
        </w:rPr>
        <w:t>GB50016</w:t>
      </w:r>
      <w:r>
        <w:rPr>
          <w:rFonts w:ascii="宋体" w:hAnsi="宋体" w:eastAsia="宋体" w:cs="宋体"/>
          <w:spacing w:val="-4"/>
          <w:sz w:val="20"/>
          <w:szCs w:val="20"/>
        </w:rPr>
        <w:t>已</w:t>
      </w:r>
      <w:r>
        <w:rPr>
          <w:rFonts w:ascii="宋体" w:hAnsi="宋体" w:eastAsia="宋体" w:cs="宋体"/>
          <w:spacing w:val="9"/>
          <w:sz w:val="20"/>
          <w:szCs w:val="20"/>
        </w:rPr>
        <w:t>无综合楼的概念，但其在其他防火设计规范中依然沿用。住宅与</w:t>
      </w:r>
      <w:r>
        <w:rPr>
          <w:rFonts w:ascii="宋体" w:hAnsi="宋体" w:eastAsia="宋体" w:cs="宋体"/>
          <w:spacing w:val="19"/>
          <w:sz w:val="20"/>
          <w:szCs w:val="20"/>
        </w:rPr>
        <w:t>表5.2.2中任何一种其他用途的建筑合建不属于综</w:t>
      </w:r>
      <w:r>
        <w:rPr>
          <w:rFonts w:ascii="宋体" w:hAnsi="宋体" w:eastAsia="宋体" w:cs="宋体"/>
          <w:spacing w:val="18"/>
          <w:sz w:val="20"/>
          <w:szCs w:val="20"/>
        </w:rPr>
        <w:t>合楼。在现</w:t>
      </w:r>
      <w:r>
        <w:rPr>
          <w:rFonts w:ascii="宋体" w:hAnsi="宋体" w:eastAsia="宋体" w:cs="宋体"/>
          <w:spacing w:val="5"/>
          <w:sz w:val="20"/>
          <w:szCs w:val="20"/>
        </w:rPr>
        <w:t>行国家标准《综合医院建筑设计规范》</w:t>
      </w:r>
      <w:r>
        <w:rPr>
          <w:rFonts w:ascii="宋体" w:hAnsi="宋体" w:eastAsia="宋体" w:cs="宋体"/>
          <w:sz w:val="20"/>
          <w:szCs w:val="20"/>
        </w:rPr>
        <w:t>GB</w:t>
      </w:r>
      <w:r>
        <w:rPr>
          <w:rFonts w:ascii="宋体" w:hAnsi="宋体" w:eastAsia="宋体" w:cs="宋体"/>
          <w:spacing w:val="5"/>
          <w:sz w:val="20"/>
          <w:szCs w:val="20"/>
        </w:rPr>
        <w:t>51039中对综合医院的</w:t>
      </w:r>
      <w:r>
        <w:rPr>
          <w:rFonts w:ascii="宋体" w:hAnsi="宋体" w:eastAsia="宋体" w:cs="宋体"/>
          <w:spacing w:val="-9"/>
          <w:sz w:val="20"/>
          <w:szCs w:val="20"/>
        </w:rPr>
        <w:t>定义，是指有一定数量的病床，分设内科、外科、妇科、儿科、眼科、</w:t>
      </w:r>
      <w:r>
        <w:rPr>
          <w:rFonts w:ascii="宋体" w:hAnsi="宋体" w:eastAsia="宋体" w:cs="宋体"/>
          <w:spacing w:val="1"/>
          <w:sz w:val="20"/>
          <w:szCs w:val="20"/>
        </w:rPr>
        <w:t>耳鼻喉科等各种科室及药剂、检验、放射等医技部门，拥有相应人</w:t>
      </w:r>
      <w:r>
        <w:rPr>
          <w:rFonts w:ascii="宋体" w:hAnsi="宋体" w:eastAsia="宋体" w:cs="宋体"/>
          <w:spacing w:val="28"/>
          <w:sz w:val="20"/>
          <w:szCs w:val="20"/>
        </w:rPr>
        <w:t>员、设备的医院。根据现行国家标准《建筑设计防火规范》</w:t>
      </w:r>
    </w:p>
    <w:p>
      <w:pPr>
        <w:spacing w:line="285" w:lineRule="auto"/>
        <w:rPr>
          <w:rFonts w:ascii="宋体" w:hAnsi="宋体" w:eastAsia="宋体" w:cs="宋体"/>
          <w:sz w:val="20"/>
          <w:szCs w:val="20"/>
        </w:rPr>
        <w:sectPr>
          <w:footerReference r:id="rId95" w:type="default"/>
          <w:pgSz w:w="8280" w:h="11850"/>
          <w:pgMar w:top="400" w:right="1139" w:bottom="1326" w:left="1200" w:header="0" w:footer="1014" w:gutter="0"/>
          <w:cols w:space="720" w:num="1"/>
        </w:sectPr>
      </w:pPr>
    </w:p>
    <w:p>
      <w:pPr>
        <w:pStyle w:val="2"/>
        <w:spacing w:line="284" w:lineRule="auto"/>
      </w:pPr>
    </w:p>
    <w:p>
      <w:pPr>
        <w:pStyle w:val="2"/>
        <w:spacing w:line="285" w:lineRule="auto"/>
      </w:pPr>
    </w:p>
    <w:p>
      <w:pPr>
        <w:pStyle w:val="2"/>
        <w:spacing w:line="285" w:lineRule="auto"/>
      </w:pPr>
    </w:p>
    <w:p>
      <w:pPr>
        <w:spacing w:before="69" w:line="273" w:lineRule="auto"/>
        <w:ind w:right="19"/>
        <w:jc w:val="both"/>
        <w:rPr>
          <w:rFonts w:ascii="宋体" w:hAnsi="宋体" w:eastAsia="宋体" w:cs="宋体"/>
          <w:sz w:val="21"/>
          <w:szCs w:val="21"/>
        </w:rPr>
      </w:pPr>
      <w:r>
        <w:rPr>
          <w:rFonts w:ascii="Times New Roman" w:hAnsi="Times New Roman" w:eastAsia="Times New Roman" w:cs="Times New Roman"/>
          <w:spacing w:val="-4"/>
          <w:sz w:val="21"/>
          <w:szCs w:val="21"/>
        </w:rPr>
        <w:t>GB50016</w:t>
      </w:r>
      <w:r>
        <w:rPr>
          <w:rFonts w:ascii="宋体" w:hAnsi="宋体" w:eastAsia="宋体" w:cs="宋体"/>
          <w:spacing w:val="-4"/>
          <w:sz w:val="21"/>
          <w:szCs w:val="21"/>
        </w:rPr>
        <w:t>解释，建筑内有几种用途判定标准为：看不同使用性质</w:t>
      </w:r>
      <w:r>
        <w:rPr>
          <w:rFonts w:ascii="宋体" w:hAnsi="宋体" w:eastAsia="宋体" w:cs="宋体"/>
          <w:spacing w:val="-1"/>
          <w:sz w:val="21"/>
          <w:szCs w:val="21"/>
        </w:rPr>
        <w:t>的房间是否属于同一用途服务的配套用房，若是就可以认定为同</w:t>
      </w:r>
      <w:r>
        <w:rPr>
          <w:rFonts w:ascii="宋体" w:hAnsi="宋体" w:eastAsia="宋体" w:cs="宋体"/>
          <w:spacing w:val="-2"/>
          <w:sz w:val="21"/>
          <w:szCs w:val="21"/>
        </w:rPr>
        <w:t>一用途。除高层医院外，当综合医院内设置为医疗配套的商业服务网点、商铺和餐厅等非医疗用途的楼层时，仍属于同一用途服</w:t>
      </w:r>
      <w:r>
        <w:rPr>
          <w:rFonts w:ascii="宋体" w:hAnsi="宋体" w:eastAsia="宋体" w:cs="宋体"/>
          <w:sz w:val="21"/>
          <w:szCs w:val="21"/>
        </w:rPr>
        <w:t>务的配套用房，火灾延续时间可按2.00h取值。</w:t>
      </w:r>
      <w:r>
        <w:rPr>
          <w:rFonts w:ascii="宋体" w:hAnsi="宋体" w:eastAsia="宋体" w:cs="宋体"/>
          <w:spacing w:val="-1"/>
          <w:sz w:val="21"/>
          <w:szCs w:val="21"/>
        </w:rPr>
        <w:t>当合用消防系统</w:t>
      </w:r>
      <w:r>
        <w:rPr>
          <w:rFonts w:ascii="宋体" w:hAnsi="宋体" w:eastAsia="宋体" w:cs="宋体"/>
          <w:spacing w:val="1"/>
          <w:sz w:val="21"/>
          <w:szCs w:val="21"/>
        </w:rPr>
        <w:t>的高层建筑或园区内同时设有医院及非医疗用途商业服务网点、</w:t>
      </w:r>
      <w:r>
        <w:rPr>
          <w:rFonts w:ascii="宋体" w:hAnsi="宋体" w:eastAsia="宋体" w:cs="宋体"/>
          <w:spacing w:val="-9"/>
          <w:sz w:val="21"/>
          <w:szCs w:val="21"/>
        </w:rPr>
        <w:t>商铺和餐厅等建筑功能时，符合“综合楼”的定义，火灾延续时间</w:t>
      </w:r>
      <w:r>
        <w:rPr>
          <w:rFonts w:ascii="宋体" w:hAnsi="宋体" w:eastAsia="宋体" w:cs="宋体"/>
          <w:spacing w:val="7"/>
          <w:sz w:val="21"/>
          <w:szCs w:val="21"/>
        </w:rPr>
        <w:t>应按3.00</w:t>
      </w:r>
      <w:r>
        <w:rPr>
          <w:rFonts w:ascii="Times New Roman" w:hAnsi="Times New Roman" w:eastAsia="Times New Roman" w:cs="Times New Roman"/>
          <w:spacing w:val="7"/>
          <w:sz w:val="21"/>
          <w:szCs w:val="21"/>
        </w:rPr>
        <w:t>h</w:t>
      </w:r>
      <w:r>
        <w:rPr>
          <w:rFonts w:ascii="宋体" w:hAnsi="宋体" w:eastAsia="宋体" w:cs="宋体"/>
          <w:spacing w:val="7"/>
          <w:sz w:val="21"/>
          <w:szCs w:val="21"/>
        </w:rPr>
        <w:t>取值。老年人照料设施的火灾延续时间参照医疗建</w:t>
      </w:r>
      <w:r>
        <w:rPr>
          <w:rFonts w:ascii="宋体" w:hAnsi="宋体" w:eastAsia="宋体" w:cs="宋体"/>
          <w:spacing w:val="-3"/>
          <w:sz w:val="21"/>
          <w:szCs w:val="21"/>
        </w:rPr>
        <w:t>筑执行。</w:t>
      </w:r>
    </w:p>
    <w:p>
      <w:pPr>
        <w:spacing w:before="72" w:line="277" w:lineRule="auto"/>
        <w:ind w:firstLine="439"/>
        <w:jc w:val="both"/>
        <w:rPr>
          <w:rFonts w:ascii="宋体" w:hAnsi="宋体" w:eastAsia="宋体" w:cs="宋体"/>
          <w:sz w:val="21"/>
          <w:szCs w:val="21"/>
        </w:rPr>
      </w:pPr>
      <w:r>
        <w:rPr>
          <w:rFonts w:ascii="宋体" w:hAnsi="宋体" w:eastAsia="宋体" w:cs="宋体"/>
          <w:spacing w:val="-5"/>
          <w:sz w:val="21"/>
          <w:szCs w:val="21"/>
        </w:rPr>
        <w:t>现行国家标准《建筑设计防火规范》</w:t>
      </w:r>
      <w:r>
        <w:rPr>
          <w:rFonts w:ascii="Times New Roman" w:hAnsi="Times New Roman" w:eastAsia="Times New Roman" w:cs="Times New Roman"/>
          <w:spacing w:val="-5"/>
          <w:sz w:val="21"/>
          <w:szCs w:val="21"/>
        </w:rPr>
        <w:t>GB50016</w:t>
      </w:r>
      <w:r>
        <w:rPr>
          <w:rFonts w:ascii="宋体" w:hAnsi="宋体" w:eastAsia="宋体" w:cs="宋体"/>
          <w:spacing w:val="-5"/>
          <w:sz w:val="21"/>
          <w:szCs w:val="21"/>
        </w:rPr>
        <w:t>已无高级宾馆</w:t>
      </w:r>
      <w:r>
        <w:rPr>
          <w:rFonts w:ascii="宋体" w:hAnsi="宋体" w:eastAsia="宋体" w:cs="宋体"/>
          <w:spacing w:val="10"/>
          <w:sz w:val="21"/>
          <w:szCs w:val="21"/>
        </w:rPr>
        <w:t>定义，由于现行国家标准《消防给水及消火栓系统技术规范》</w:t>
      </w:r>
      <w:r>
        <w:rPr>
          <w:rFonts w:ascii="宋体" w:hAnsi="宋体" w:eastAsia="宋体" w:cs="宋体"/>
          <w:spacing w:val="-7"/>
          <w:sz w:val="21"/>
          <w:szCs w:val="21"/>
        </w:rPr>
        <w:t>GB50974实施时，原《高层民用建筑设计防火规范》GB50045尚</w:t>
      </w:r>
      <w:r>
        <w:rPr>
          <w:rFonts w:ascii="宋体" w:hAnsi="宋体" w:eastAsia="宋体" w:cs="宋体"/>
          <w:spacing w:val="2"/>
          <w:sz w:val="21"/>
          <w:szCs w:val="21"/>
        </w:rPr>
        <w:t>未作废，故表5.2.2中高级宾馆可仍按原《高层民用</w:t>
      </w:r>
      <w:r>
        <w:rPr>
          <w:rFonts w:ascii="宋体" w:hAnsi="宋体" w:eastAsia="宋体" w:cs="宋体"/>
          <w:spacing w:val="1"/>
          <w:sz w:val="21"/>
          <w:szCs w:val="21"/>
        </w:rPr>
        <w:t>建筑设计防</w:t>
      </w:r>
      <w:r>
        <w:rPr>
          <w:rFonts w:ascii="宋体" w:hAnsi="宋体" w:eastAsia="宋体" w:cs="宋体"/>
          <w:spacing w:val="-1"/>
          <w:sz w:val="21"/>
          <w:szCs w:val="21"/>
        </w:rPr>
        <w:t>火规范》GB50045,解释为具备星级</w:t>
      </w:r>
      <w:r>
        <w:rPr>
          <w:rFonts w:ascii="宋体" w:hAnsi="宋体" w:eastAsia="宋体" w:cs="宋体"/>
          <w:spacing w:val="-2"/>
          <w:sz w:val="21"/>
          <w:szCs w:val="21"/>
        </w:rPr>
        <w:t>条件且设有空气调节系统的</w:t>
      </w:r>
      <w:r>
        <w:rPr>
          <w:rFonts w:ascii="宋体" w:hAnsi="宋体" w:eastAsia="宋体" w:cs="宋体"/>
          <w:spacing w:val="5"/>
          <w:sz w:val="21"/>
          <w:szCs w:val="21"/>
        </w:rPr>
        <w:t>旅馆。多层和建筑高度小于或等于50</w:t>
      </w:r>
      <w:r>
        <w:rPr>
          <w:rFonts w:ascii="Times New Roman" w:hAnsi="Times New Roman" w:eastAsia="Times New Roman" w:cs="Times New Roman"/>
          <w:spacing w:val="5"/>
          <w:sz w:val="21"/>
          <w:szCs w:val="21"/>
        </w:rPr>
        <w:t>m</w:t>
      </w:r>
      <w:r>
        <w:rPr>
          <w:rFonts w:ascii="宋体" w:hAnsi="宋体" w:eastAsia="宋体" w:cs="宋体"/>
          <w:spacing w:val="5"/>
          <w:sz w:val="21"/>
          <w:szCs w:val="21"/>
        </w:rPr>
        <w:t>的</w:t>
      </w:r>
      <w:r>
        <w:rPr>
          <w:rFonts w:ascii="宋体" w:hAnsi="宋体" w:eastAsia="宋体" w:cs="宋体"/>
          <w:spacing w:val="4"/>
          <w:sz w:val="21"/>
          <w:szCs w:val="21"/>
        </w:rPr>
        <w:t>高级宾馆，火灾延续时间取2.00</w:t>
      </w:r>
      <w:r>
        <w:rPr>
          <w:rFonts w:ascii="Times New Roman" w:hAnsi="Times New Roman" w:eastAsia="Times New Roman" w:cs="Times New Roman"/>
          <w:spacing w:val="4"/>
          <w:sz w:val="21"/>
          <w:szCs w:val="21"/>
        </w:rPr>
        <w:t>h;</w:t>
      </w:r>
      <w:r>
        <w:rPr>
          <w:rFonts w:ascii="宋体" w:hAnsi="宋体" w:eastAsia="宋体" w:cs="宋体"/>
          <w:spacing w:val="4"/>
          <w:sz w:val="21"/>
          <w:szCs w:val="21"/>
        </w:rPr>
        <w:t>建筑高度大于50</w:t>
      </w:r>
      <w:r>
        <w:rPr>
          <w:rFonts w:ascii="Times New Roman" w:hAnsi="Times New Roman" w:eastAsia="Times New Roman" w:cs="Times New Roman"/>
          <w:spacing w:val="4"/>
          <w:sz w:val="21"/>
          <w:szCs w:val="21"/>
        </w:rPr>
        <w:t>m</w:t>
      </w:r>
      <w:r>
        <w:rPr>
          <w:rFonts w:ascii="宋体" w:hAnsi="宋体" w:eastAsia="宋体" w:cs="宋体"/>
          <w:spacing w:val="4"/>
          <w:sz w:val="21"/>
          <w:szCs w:val="21"/>
        </w:rPr>
        <w:t>的高级宾馆，火</w:t>
      </w:r>
      <w:r>
        <w:rPr>
          <w:rFonts w:ascii="宋体" w:hAnsi="宋体" w:eastAsia="宋体" w:cs="宋体"/>
          <w:spacing w:val="3"/>
          <w:sz w:val="21"/>
          <w:szCs w:val="21"/>
        </w:rPr>
        <w:t>灾延续时间按</w:t>
      </w:r>
      <w:r>
        <w:rPr>
          <w:rFonts w:ascii="Times New Roman" w:hAnsi="Times New Roman" w:eastAsia="Times New Roman" w:cs="Times New Roman"/>
          <w:spacing w:val="-1"/>
          <w:sz w:val="21"/>
          <w:szCs w:val="21"/>
        </w:rPr>
        <w:t>3.00h</w:t>
      </w:r>
      <w:r>
        <w:rPr>
          <w:rFonts w:ascii="宋体" w:hAnsi="宋体" w:eastAsia="宋体" w:cs="宋体"/>
          <w:spacing w:val="-1"/>
          <w:sz w:val="21"/>
          <w:szCs w:val="21"/>
        </w:rPr>
        <w:t>取值。</w:t>
      </w:r>
    </w:p>
    <w:p>
      <w:pPr>
        <w:spacing w:before="12" w:line="267" w:lineRule="auto"/>
        <w:ind w:right="72" w:firstLine="469"/>
        <w:jc w:val="both"/>
        <w:rPr>
          <w:rFonts w:ascii="宋体" w:hAnsi="宋体" w:eastAsia="宋体" w:cs="宋体"/>
          <w:sz w:val="21"/>
          <w:szCs w:val="21"/>
        </w:rPr>
      </w:pPr>
      <w:r>
        <w:rPr>
          <w:rFonts w:ascii="宋体" w:hAnsi="宋体" w:eastAsia="宋体" w:cs="宋体"/>
          <w:spacing w:val="6"/>
          <w:sz w:val="21"/>
          <w:szCs w:val="21"/>
        </w:rPr>
        <w:t>当工程中不同使用功能场所之间的防火分隔符合现行国家</w:t>
      </w:r>
      <w:r>
        <w:rPr>
          <w:rFonts w:ascii="宋体" w:hAnsi="宋体" w:eastAsia="宋体" w:cs="宋体"/>
          <w:spacing w:val="-6"/>
          <w:sz w:val="21"/>
          <w:szCs w:val="21"/>
        </w:rPr>
        <w:t>标准《建筑设计防火规范》</w:t>
      </w:r>
      <w:r>
        <w:rPr>
          <w:rFonts w:ascii="Times New Roman" w:hAnsi="Times New Roman" w:eastAsia="Times New Roman" w:cs="Times New Roman"/>
          <w:spacing w:val="-6"/>
          <w:sz w:val="21"/>
          <w:szCs w:val="21"/>
        </w:rPr>
        <w:t>GB50016</w:t>
      </w:r>
      <w:r>
        <w:rPr>
          <w:rFonts w:ascii="宋体" w:hAnsi="宋体" w:eastAsia="宋体" w:cs="宋体"/>
          <w:spacing w:val="-7"/>
          <w:sz w:val="21"/>
          <w:szCs w:val="21"/>
        </w:rPr>
        <w:t>的相关要求时，不同使用功</w:t>
      </w:r>
      <w:r>
        <w:rPr>
          <w:rFonts w:ascii="宋体" w:hAnsi="宋体" w:eastAsia="宋体" w:cs="宋体"/>
          <w:spacing w:val="-2"/>
          <w:sz w:val="21"/>
          <w:szCs w:val="21"/>
        </w:rPr>
        <w:t>能场所的火灾延续时间可分别进行计算并取较大值确定。</w:t>
      </w:r>
    </w:p>
    <w:p>
      <w:pPr>
        <w:pStyle w:val="2"/>
        <w:spacing w:before="4" w:line="277" w:lineRule="auto"/>
        <w:ind w:right="79"/>
        <w:jc w:val="both"/>
        <w:rPr>
          <w:rFonts w:ascii="宋体" w:hAnsi="宋体" w:eastAsia="宋体" w:cs="宋体"/>
        </w:rPr>
      </w:pPr>
      <w:r>
        <w:rPr>
          <w:spacing w:val="5"/>
        </w:rPr>
        <w:t>5.2.3</w:t>
      </w:r>
      <w:r>
        <w:rPr>
          <w:rFonts w:ascii="宋体" w:hAnsi="宋体" w:eastAsia="宋体" w:cs="宋体"/>
          <w:spacing w:val="5"/>
        </w:rPr>
        <w:t>是否设置室内消火栓系统，应根据本标准第3.1节相关</w:t>
      </w:r>
      <w:r>
        <w:rPr>
          <w:rFonts w:ascii="宋体" w:hAnsi="宋体" w:eastAsia="宋体" w:cs="宋体"/>
          <w:spacing w:val="6"/>
        </w:rPr>
        <w:t>条文确定。地下室体积参照地下建筑取值。地下建</w:t>
      </w:r>
      <w:r>
        <w:rPr>
          <w:rFonts w:ascii="宋体" w:hAnsi="宋体" w:eastAsia="宋体" w:cs="宋体"/>
          <w:spacing w:val="5"/>
        </w:rPr>
        <w:t>筑和建筑地</w:t>
      </w:r>
      <w:r>
        <w:rPr>
          <w:rFonts w:ascii="宋体" w:hAnsi="宋体" w:eastAsia="宋体" w:cs="宋体"/>
          <w:spacing w:val="-1"/>
        </w:rPr>
        <w:t>下室是两个不同概念，建筑地下室是指附建在建筑物地面以下用</w:t>
      </w:r>
      <w:r>
        <w:rPr>
          <w:rFonts w:ascii="宋体" w:hAnsi="宋体" w:eastAsia="宋体" w:cs="宋体"/>
          <w:spacing w:val="-2"/>
        </w:rPr>
        <w:t>于建筑物配套设施的那部分建筑；而地下建筑是指独立建造的地</w:t>
      </w:r>
      <w:r>
        <w:rPr>
          <w:rFonts w:ascii="宋体" w:hAnsi="宋体" w:eastAsia="宋体" w:cs="宋体"/>
          <w:spacing w:val="-16"/>
        </w:rPr>
        <w:t>下建筑物，通常位于广场、绿地、道路、贴邻、停车场、公园等用地</w:t>
      </w:r>
      <w:r>
        <w:rPr>
          <w:rFonts w:ascii="宋体" w:hAnsi="宋体" w:eastAsia="宋体" w:cs="宋体"/>
          <w:spacing w:val="6"/>
        </w:rPr>
        <w:t>下方。为地下建筑服务的地上建筑面积应计入地下建筑内。当</w:t>
      </w:r>
      <w:r>
        <w:rPr>
          <w:rFonts w:ascii="宋体" w:hAnsi="宋体" w:eastAsia="宋体" w:cs="宋体"/>
          <w:spacing w:val="-2"/>
        </w:rPr>
        <w:t>一座建筑必须设置室内消火栓系统时，在建筑内设有多种使用功</w:t>
      </w:r>
      <w:r>
        <w:rPr>
          <w:rFonts w:ascii="宋体" w:hAnsi="宋体" w:eastAsia="宋体" w:cs="宋体"/>
          <w:spacing w:val="-1"/>
        </w:rPr>
        <w:t>能且各种功能在防火分隔完善的情况下，可以按各种功能分别计</w:t>
      </w:r>
      <w:r>
        <w:rPr>
          <w:rFonts w:ascii="宋体" w:hAnsi="宋体" w:eastAsia="宋体" w:cs="宋体"/>
          <w:spacing w:val="-7"/>
        </w:rPr>
        <w:t>算室内消防用水量，并取其中最大值。</w:t>
      </w:r>
    </w:p>
    <w:p>
      <w:pPr>
        <w:spacing w:line="277" w:lineRule="auto"/>
        <w:rPr>
          <w:rFonts w:ascii="宋体" w:hAnsi="宋体" w:eastAsia="宋体" w:cs="宋体"/>
        </w:rPr>
        <w:sectPr>
          <w:footerReference r:id="rId96" w:type="default"/>
          <w:pgSz w:w="8280" w:h="11850"/>
          <w:pgMar w:top="400" w:right="1134" w:bottom="1331" w:left="1200" w:header="0" w:footer="1059" w:gutter="0"/>
          <w:cols w:space="720" w:num="1"/>
        </w:sectPr>
      </w:pPr>
    </w:p>
    <w:p>
      <w:pPr>
        <w:pStyle w:val="2"/>
        <w:spacing w:line="297" w:lineRule="auto"/>
      </w:pPr>
    </w:p>
    <w:p>
      <w:pPr>
        <w:pStyle w:val="2"/>
        <w:spacing w:line="297" w:lineRule="auto"/>
      </w:pPr>
    </w:p>
    <w:p>
      <w:pPr>
        <w:pStyle w:val="2"/>
        <w:spacing w:line="297" w:lineRule="auto"/>
      </w:pPr>
    </w:p>
    <w:p>
      <w:pPr>
        <w:pStyle w:val="2"/>
        <w:spacing w:line="297" w:lineRule="auto"/>
      </w:pPr>
    </w:p>
    <w:p>
      <w:pPr>
        <w:spacing w:before="68" w:line="221" w:lineRule="auto"/>
        <w:ind w:left="2067"/>
        <w:rPr>
          <w:rFonts w:ascii="黑体" w:hAnsi="黑体" w:eastAsia="黑体" w:cs="黑体"/>
          <w:sz w:val="21"/>
          <w:szCs w:val="21"/>
        </w:rPr>
      </w:pPr>
      <w:bookmarkStart w:id="84" w:name="bookmark114"/>
      <w:bookmarkEnd w:id="84"/>
      <w:bookmarkStart w:id="85" w:name="bookmark134"/>
      <w:bookmarkEnd w:id="85"/>
      <w:r>
        <w:rPr>
          <w:rFonts w:ascii="宋体" w:hAnsi="宋体" w:eastAsia="宋体" w:cs="宋体"/>
          <w:b/>
          <w:bCs/>
          <w:spacing w:val="-5"/>
          <w:sz w:val="21"/>
          <w:szCs w:val="21"/>
        </w:rPr>
        <w:t>5.3</w:t>
      </w:r>
      <w:r>
        <w:rPr>
          <w:rFonts w:ascii="黑体" w:hAnsi="黑体" w:eastAsia="黑体" w:cs="黑体"/>
          <w:b/>
          <w:bCs/>
          <w:spacing w:val="-5"/>
          <w:sz w:val="21"/>
          <w:szCs w:val="21"/>
        </w:rPr>
        <w:t>室外消火栓系统</w:t>
      </w:r>
    </w:p>
    <w:p>
      <w:pPr>
        <w:pStyle w:val="2"/>
        <w:spacing w:line="314" w:lineRule="auto"/>
      </w:pPr>
    </w:p>
    <w:p>
      <w:pPr>
        <w:spacing w:before="68" w:line="277" w:lineRule="auto"/>
        <w:ind w:left="105" w:right="2"/>
        <w:rPr>
          <w:rFonts w:ascii="宋体" w:hAnsi="宋体" w:eastAsia="宋体" w:cs="宋体"/>
          <w:sz w:val="17"/>
          <w:szCs w:val="17"/>
        </w:rPr>
      </w:pPr>
      <w:r>
        <w:rPr>
          <w:rFonts w:ascii="宋体" w:hAnsi="宋体" w:eastAsia="宋体" w:cs="宋体"/>
          <w:spacing w:val="3"/>
          <w:sz w:val="21"/>
          <w:szCs w:val="21"/>
        </w:rPr>
        <w:t>5.3.1上海为非严寒地区，采用地上式消火栓可方便火灾现场</w:t>
      </w:r>
      <w:r>
        <w:rPr>
          <w:rFonts w:ascii="宋体" w:hAnsi="宋体" w:eastAsia="宋体" w:cs="宋体"/>
          <w:spacing w:val="-1"/>
          <w:sz w:val="21"/>
          <w:szCs w:val="21"/>
        </w:rPr>
        <w:t>识别和使用。根据上海消防救援部门的实际装备情况，上海很少</w:t>
      </w:r>
      <w:r>
        <w:rPr>
          <w:rFonts w:ascii="宋体" w:hAnsi="宋体" w:eastAsia="宋体" w:cs="宋体"/>
          <w:spacing w:val="6"/>
          <w:sz w:val="21"/>
          <w:szCs w:val="21"/>
        </w:rPr>
        <w:t>使用</w:t>
      </w:r>
      <w:r>
        <w:rPr>
          <w:rFonts w:ascii="Times New Roman" w:hAnsi="Times New Roman" w:eastAsia="Times New Roman" w:cs="Times New Roman"/>
          <w:sz w:val="21"/>
          <w:szCs w:val="21"/>
        </w:rPr>
        <w:t>DN</w:t>
      </w:r>
      <w:r>
        <w:rPr>
          <w:rFonts w:ascii="Times New Roman" w:hAnsi="Times New Roman" w:eastAsia="Times New Roman" w:cs="Times New Roman"/>
          <w:spacing w:val="6"/>
          <w:sz w:val="21"/>
          <w:szCs w:val="21"/>
        </w:rPr>
        <w:t>150</w:t>
      </w:r>
      <w:r>
        <w:rPr>
          <w:rFonts w:ascii="宋体" w:hAnsi="宋体" w:eastAsia="宋体" w:cs="宋体"/>
          <w:spacing w:val="6"/>
          <w:sz w:val="21"/>
          <w:szCs w:val="21"/>
        </w:rPr>
        <w:t>的栓口，故统一采用1个</w:t>
      </w:r>
      <w:r>
        <w:rPr>
          <w:rFonts w:ascii="Times New Roman" w:hAnsi="Times New Roman" w:eastAsia="Times New Roman" w:cs="Times New Roman"/>
          <w:sz w:val="21"/>
          <w:szCs w:val="21"/>
        </w:rPr>
        <w:t>DN</w:t>
      </w:r>
      <w:r>
        <w:rPr>
          <w:rFonts w:ascii="Times New Roman" w:hAnsi="Times New Roman" w:eastAsia="Times New Roman" w:cs="Times New Roman"/>
          <w:spacing w:val="6"/>
          <w:sz w:val="21"/>
          <w:szCs w:val="21"/>
        </w:rPr>
        <w:t>100</w:t>
      </w:r>
      <w:r>
        <w:rPr>
          <w:rFonts w:ascii="宋体" w:hAnsi="宋体" w:eastAsia="宋体" w:cs="宋体"/>
          <w:spacing w:val="6"/>
          <w:sz w:val="21"/>
          <w:szCs w:val="21"/>
        </w:rPr>
        <w:t>和2个</w:t>
      </w:r>
      <w:r>
        <w:rPr>
          <w:rFonts w:ascii="Times New Roman" w:hAnsi="Times New Roman" w:eastAsia="Times New Roman" w:cs="Times New Roman"/>
          <w:sz w:val="21"/>
          <w:szCs w:val="21"/>
        </w:rPr>
        <w:t>DN</w:t>
      </w:r>
      <w:r>
        <w:rPr>
          <w:rFonts w:ascii="Times New Roman" w:hAnsi="Times New Roman" w:eastAsia="Times New Roman" w:cs="Times New Roman"/>
          <w:spacing w:val="6"/>
          <w:sz w:val="21"/>
          <w:szCs w:val="21"/>
        </w:rPr>
        <w:t>65</w:t>
      </w:r>
      <w:r>
        <w:rPr>
          <w:rFonts w:ascii="宋体" w:hAnsi="宋体" w:eastAsia="宋体" w:cs="宋体"/>
          <w:spacing w:val="6"/>
          <w:sz w:val="21"/>
          <w:szCs w:val="21"/>
        </w:rPr>
        <w:t>的</w:t>
      </w:r>
      <w:r>
        <w:rPr>
          <w:rFonts w:ascii="宋体" w:hAnsi="宋体" w:eastAsia="宋体" w:cs="宋体"/>
          <w:spacing w:val="-14"/>
          <w:sz w:val="17"/>
          <w:szCs w:val="17"/>
        </w:rPr>
        <w:t>栓口。</w:t>
      </w:r>
    </w:p>
    <w:p>
      <w:pPr>
        <w:spacing w:before="87" w:line="266" w:lineRule="auto"/>
        <w:ind w:left="104"/>
        <w:rPr>
          <w:rFonts w:ascii="宋体" w:hAnsi="宋体" w:eastAsia="宋体" w:cs="宋体"/>
          <w:sz w:val="21"/>
          <w:szCs w:val="21"/>
        </w:rPr>
      </w:pPr>
      <w:r>
        <w:rPr>
          <w:rFonts w:ascii="Times New Roman" w:hAnsi="Times New Roman" w:eastAsia="Times New Roman" w:cs="Times New Roman"/>
          <w:spacing w:val="4"/>
          <w:sz w:val="21"/>
          <w:szCs w:val="21"/>
        </w:rPr>
        <w:t>5.3.2</w:t>
      </w:r>
      <w:r>
        <w:rPr>
          <w:rFonts w:ascii="宋体" w:hAnsi="宋体" w:eastAsia="宋体" w:cs="宋体"/>
          <w:spacing w:val="4"/>
          <w:sz w:val="21"/>
          <w:szCs w:val="21"/>
        </w:rPr>
        <w:t>室外消火栓主要是满足室外消防灭火的需要，同时也有</w:t>
      </w:r>
      <w:r>
        <w:rPr>
          <w:rFonts w:ascii="宋体" w:hAnsi="宋体" w:eastAsia="宋体" w:cs="宋体"/>
          <w:spacing w:val="-1"/>
          <w:sz w:val="21"/>
          <w:szCs w:val="21"/>
        </w:rPr>
        <w:t>向水泵接合器供水的功能，但不存在要与水泵接合器一一</w:t>
      </w:r>
      <w:r>
        <w:rPr>
          <w:rFonts w:ascii="宋体" w:hAnsi="宋体" w:eastAsia="宋体" w:cs="宋体"/>
          <w:spacing w:val="-2"/>
          <w:sz w:val="21"/>
          <w:szCs w:val="21"/>
        </w:rPr>
        <w:t>对应的</w:t>
      </w:r>
      <w:r>
        <w:rPr>
          <w:rFonts w:ascii="宋体" w:hAnsi="宋体" w:eastAsia="宋体" w:cs="宋体"/>
          <w:spacing w:val="-1"/>
          <w:sz w:val="21"/>
          <w:szCs w:val="21"/>
        </w:rPr>
        <w:t>关系，水泵接合器也可通过消防车从市政消火栓接水。但是室外消火栓位置确定时需要考虑与水泵接合器的间距</w:t>
      </w:r>
      <w:r>
        <w:rPr>
          <w:rFonts w:ascii="宋体" w:hAnsi="宋体" w:eastAsia="宋体" w:cs="宋体"/>
          <w:spacing w:val="-2"/>
          <w:sz w:val="21"/>
          <w:szCs w:val="21"/>
        </w:rPr>
        <w:t>，每个接合器的</w:t>
      </w:r>
      <w:r>
        <w:rPr>
          <w:rFonts w:ascii="Times New Roman" w:hAnsi="Times New Roman" w:eastAsia="Times New Roman" w:cs="Times New Roman"/>
          <w:spacing w:val="-3"/>
          <w:sz w:val="21"/>
          <w:szCs w:val="21"/>
        </w:rPr>
        <w:t>15m</w:t>
      </w:r>
      <w:r>
        <w:rPr>
          <w:rFonts w:ascii="宋体" w:hAnsi="宋体" w:eastAsia="宋体" w:cs="宋体"/>
          <w:spacing w:val="-3"/>
          <w:sz w:val="21"/>
          <w:szCs w:val="21"/>
        </w:rPr>
        <w:t>～</w:t>
      </w:r>
      <w:r>
        <w:rPr>
          <w:rFonts w:ascii="Times New Roman" w:hAnsi="Times New Roman" w:eastAsia="Times New Roman" w:cs="Times New Roman"/>
          <w:spacing w:val="-3"/>
          <w:sz w:val="21"/>
          <w:szCs w:val="21"/>
        </w:rPr>
        <w:t>40m</w:t>
      </w:r>
      <w:r>
        <w:rPr>
          <w:rFonts w:ascii="宋体" w:hAnsi="宋体" w:eastAsia="宋体" w:cs="宋体"/>
          <w:spacing w:val="-3"/>
          <w:sz w:val="21"/>
          <w:szCs w:val="21"/>
        </w:rPr>
        <w:t>距离内应有消火栓，而该消火栓是可以被水泵接合器</w:t>
      </w:r>
      <w:r>
        <w:rPr>
          <w:rFonts w:ascii="宋体" w:hAnsi="宋体" w:eastAsia="宋体" w:cs="宋体"/>
          <w:sz w:val="21"/>
          <w:szCs w:val="21"/>
        </w:rPr>
        <w:t>共用的。上海地区室外给水管网布置丰富、</w:t>
      </w:r>
      <w:r>
        <w:rPr>
          <w:rFonts w:ascii="宋体" w:hAnsi="宋体" w:eastAsia="宋体" w:cs="宋体"/>
          <w:spacing w:val="-1"/>
          <w:sz w:val="21"/>
          <w:szCs w:val="21"/>
        </w:rPr>
        <w:t>水源充足，且室外消火栓主要是提供室外消防用水量的，故在满足保护范围内，可将</w:t>
      </w:r>
      <w:r>
        <w:rPr>
          <w:rFonts w:ascii="宋体" w:hAnsi="宋体" w:eastAsia="宋体" w:cs="宋体"/>
          <w:spacing w:val="-5"/>
          <w:sz w:val="21"/>
          <w:szCs w:val="21"/>
        </w:rPr>
        <w:t>市政消火栓计入。</w:t>
      </w:r>
    </w:p>
    <w:p>
      <w:pPr>
        <w:pStyle w:val="2"/>
        <w:spacing w:line="367" w:lineRule="auto"/>
      </w:pPr>
    </w:p>
    <w:p>
      <w:pPr>
        <w:spacing w:before="68" w:line="219" w:lineRule="auto"/>
        <w:ind w:left="2057"/>
        <w:rPr>
          <w:rFonts w:ascii="宋体" w:hAnsi="宋体" w:eastAsia="宋体" w:cs="宋体"/>
          <w:sz w:val="21"/>
          <w:szCs w:val="21"/>
        </w:rPr>
      </w:pPr>
      <w:r>
        <w:rPr>
          <w:rFonts w:ascii="宋体" w:hAnsi="宋体" w:eastAsia="宋体" w:cs="宋体"/>
          <w:b/>
          <w:bCs/>
          <w:spacing w:val="-5"/>
          <w:sz w:val="21"/>
          <w:szCs w:val="21"/>
        </w:rPr>
        <w:t>5.4室内消火栓系统</w:t>
      </w:r>
    </w:p>
    <w:p>
      <w:pPr>
        <w:pStyle w:val="2"/>
        <w:spacing w:line="303" w:lineRule="auto"/>
      </w:pPr>
    </w:p>
    <w:p>
      <w:pPr>
        <w:spacing w:before="69" w:line="219" w:lineRule="auto"/>
        <w:ind w:left="108"/>
        <w:rPr>
          <w:rFonts w:ascii="宋体" w:hAnsi="宋体" w:eastAsia="宋体" w:cs="宋体"/>
          <w:sz w:val="21"/>
          <w:szCs w:val="21"/>
        </w:rPr>
      </w:pPr>
      <w:r>
        <w:rPr>
          <w:rFonts w:ascii="宋体" w:hAnsi="宋体" w:eastAsia="宋体" w:cs="宋体"/>
          <w:b/>
          <w:bCs/>
          <w:spacing w:val="3"/>
          <w:sz w:val="21"/>
          <w:szCs w:val="21"/>
        </w:rPr>
        <w:t>5.4.2</w:t>
      </w:r>
      <w:r>
        <w:rPr>
          <w:rFonts w:ascii="宋体" w:hAnsi="宋体" w:eastAsia="宋体" w:cs="宋体"/>
          <w:spacing w:val="3"/>
          <w:sz w:val="21"/>
          <w:szCs w:val="21"/>
        </w:rPr>
        <w:t>表5.4.2中高层(高架)库房是指超市仓储用房。</w:t>
      </w:r>
    </w:p>
    <w:p>
      <w:pPr>
        <w:spacing w:before="69" w:line="265" w:lineRule="auto"/>
        <w:ind w:right="4" w:firstLine="105"/>
        <w:rPr>
          <w:rFonts w:ascii="宋体" w:hAnsi="宋体" w:eastAsia="宋体" w:cs="宋体"/>
          <w:sz w:val="21"/>
          <w:szCs w:val="21"/>
        </w:rPr>
      </w:pPr>
      <w:r>
        <w:rPr>
          <w:rFonts w:ascii="Times New Roman" w:hAnsi="Times New Roman" w:eastAsia="Times New Roman" w:cs="Times New Roman"/>
          <w:spacing w:val="4"/>
          <w:sz w:val="21"/>
          <w:szCs w:val="21"/>
        </w:rPr>
        <w:t>5.4.3</w:t>
      </w:r>
      <w:r>
        <w:rPr>
          <w:rFonts w:ascii="宋体" w:hAnsi="宋体" w:eastAsia="宋体" w:cs="宋体"/>
          <w:spacing w:val="4"/>
          <w:sz w:val="21"/>
          <w:szCs w:val="21"/>
        </w:rPr>
        <w:t>消火栓栓口动压需要控制在不小于0.35</w:t>
      </w:r>
      <w:r>
        <w:rPr>
          <w:rFonts w:ascii="Times New Roman" w:hAnsi="Times New Roman" w:eastAsia="Times New Roman" w:cs="Times New Roman"/>
          <w:sz w:val="21"/>
          <w:szCs w:val="21"/>
        </w:rPr>
        <w:t>MPa</w:t>
      </w:r>
      <w:r>
        <w:rPr>
          <w:rFonts w:ascii="宋体" w:hAnsi="宋体" w:eastAsia="宋体" w:cs="宋体"/>
          <w:spacing w:val="4"/>
          <w:sz w:val="21"/>
          <w:szCs w:val="21"/>
        </w:rPr>
        <w:t>的高层建</w:t>
      </w:r>
      <w:r>
        <w:rPr>
          <w:rFonts w:ascii="宋体" w:hAnsi="宋体" w:eastAsia="宋体" w:cs="宋体"/>
          <w:spacing w:val="5"/>
          <w:sz w:val="21"/>
          <w:szCs w:val="21"/>
        </w:rPr>
        <w:t>筑、高层(高架)库房以及室内净空高度超过8</w:t>
      </w:r>
      <w:r>
        <w:rPr>
          <w:rFonts w:ascii="Times New Roman" w:hAnsi="Times New Roman" w:eastAsia="Times New Roman" w:cs="Times New Roman"/>
          <w:spacing w:val="5"/>
          <w:sz w:val="21"/>
          <w:szCs w:val="21"/>
        </w:rPr>
        <w:t>m</w:t>
      </w:r>
      <w:r>
        <w:rPr>
          <w:rFonts w:ascii="宋体" w:hAnsi="宋体" w:eastAsia="宋体" w:cs="宋体"/>
          <w:spacing w:val="5"/>
          <w:sz w:val="21"/>
          <w:szCs w:val="21"/>
        </w:rPr>
        <w:t>的场所，根据现</w:t>
      </w:r>
      <w:r>
        <w:rPr>
          <w:rFonts w:ascii="宋体" w:hAnsi="宋体" w:eastAsia="宋体" w:cs="宋体"/>
          <w:spacing w:val="-1"/>
          <w:sz w:val="21"/>
          <w:szCs w:val="21"/>
        </w:rPr>
        <w:t>行国家标准《室内消火栓》GB3445提供的I、Ⅱ、Ⅲ型减压稳压</w:t>
      </w:r>
      <w:r>
        <w:rPr>
          <w:rFonts w:ascii="宋体" w:hAnsi="宋体" w:eastAsia="宋体" w:cs="宋体"/>
          <w:spacing w:val="11"/>
          <w:sz w:val="21"/>
          <w:szCs w:val="21"/>
        </w:rPr>
        <w:t>消火栓检测项目结论摘录，目前Ⅱ、Ⅲ型减压稳压消火</w:t>
      </w:r>
      <w:r>
        <w:rPr>
          <w:rFonts w:ascii="宋体" w:hAnsi="宋体" w:eastAsia="宋体" w:cs="宋体"/>
          <w:spacing w:val="10"/>
          <w:sz w:val="21"/>
          <w:szCs w:val="21"/>
        </w:rPr>
        <w:t>栓执行</w:t>
      </w:r>
      <w:r>
        <w:rPr>
          <w:rFonts w:ascii="宋体" w:hAnsi="宋体" w:eastAsia="宋体" w:cs="宋体"/>
          <w:spacing w:val="-2"/>
          <w:sz w:val="21"/>
          <w:szCs w:val="21"/>
        </w:rPr>
        <w:t>《室内消火栓》</w:t>
      </w:r>
      <w:r>
        <w:rPr>
          <w:rFonts w:ascii="Times New Roman" w:hAnsi="Times New Roman" w:eastAsia="Times New Roman" w:cs="Times New Roman"/>
          <w:spacing w:val="-2"/>
          <w:sz w:val="21"/>
          <w:szCs w:val="21"/>
        </w:rPr>
        <w:t>GB3445</w:t>
      </w:r>
      <w:r>
        <w:rPr>
          <w:rFonts w:ascii="宋体" w:hAnsi="宋体" w:eastAsia="宋体" w:cs="宋体"/>
          <w:spacing w:val="-2"/>
          <w:sz w:val="21"/>
          <w:szCs w:val="21"/>
        </w:rPr>
        <w:t>的产品规定，且能满足栓前栓后的压力要</w:t>
      </w:r>
      <w:r>
        <w:rPr>
          <w:rFonts w:ascii="宋体" w:hAnsi="宋体" w:eastAsia="宋体" w:cs="宋体"/>
          <w:spacing w:val="-6"/>
          <w:sz w:val="21"/>
          <w:szCs w:val="21"/>
        </w:rPr>
        <w:t>求，即当栓前动压大于0.70</w:t>
      </w:r>
      <w:r>
        <w:rPr>
          <w:rFonts w:ascii="Times New Roman" w:hAnsi="Times New Roman" w:eastAsia="Times New Roman" w:cs="Times New Roman"/>
          <w:spacing w:val="-6"/>
          <w:sz w:val="21"/>
          <w:szCs w:val="21"/>
        </w:rPr>
        <w:t>MPa</w:t>
      </w:r>
      <w:r>
        <w:rPr>
          <w:rFonts w:ascii="宋体" w:hAnsi="宋体" w:eastAsia="宋体" w:cs="宋体"/>
          <w:spacing w:val="-6"/>
          <w:sz w:val="21"/>
          <w:szCs w:val="21"/>
        </w:rPr>
        <w:t>时，减压稳压消火栓出口压力</w:t>
      </w:r>
      <w:r>
        <w:rPr>
          <w:rFonts w:ascii="宋体" w:hAnsi="宋体" w:eastAsia="宋体" w:cs="宋体"/>
          <w:spacing w:val="-7"/>
          <w:sz w:val="21"/>
          <w:szCs w:val="21"/>
        </w:rPr>
        <w:t>可以</w:t>
      </w:r>
      <w:r>
        <w:rPr>
          <w:rFonts w:ascii="宋体" w:hAnsi="宋体" w:eastAsia="宋体" w:cs="宋体"/>
          <w:spacing w:val="6"/>
          <w:sz w:val="21"/>
          <w:szCs w:val="21"/>
        </w:rPr>
        <w:t>满足不小于0.35</w:t>
      </w:r>
      <w:r>
        <w:rPr>
          <w:rFonts w:ascii="Times New Roman" w:hAnsi="Times New Roman" w:eastAsia="Times New Roman" w:cs="Times New Roman"/>
          <w:sz w:val="21"/>
          <w:szCs w:val="21"/>
        </w:rPr>
        <w:t>MPa</w:t>
      </w:r>
      <w:r>
        <w:rPr>
          <w:rFonts w:ascii="宋体" w:hAnsi="宋体" w:eastAsia="宋体" w:cs="宋体"/>
          <w:spacing w:val="6"/>
          <w:sz w:val="21"/>
          <w:szCs w:val="21"/>
        </w:rPr>
        <w:t>的规范要求；但当栓前</w:t>
      </w:r>
      <w:r>
        <w:rPr>
          <w:rFonts w:ascii="宋体" w:hAnsi="宋体" w:eastAsia="宋体" w:cs="宋体"/>
          <w:spacing w:val="5"/>
          <w:sz w:val="21"/>
          <w:szCs w:val="21"/>
        </w:rPr>
        <w:t>动压为0.50</w:t>
      </w:r>
      <w:r>
        <w:rPr>
          <w:rFonts w:ascii="Times New Roman" w:hAnsi="Times New Roman" w:eastAsia="Times New Roman" w:cs="Times New Roman"/>
          <w:sz w:val="21"/>
          <w:szCs w:val="21"/>
        </w:rPr>
        <w:t>MPa</w:t>
      </w:r>
      <w:r>
        <w:rPr>
          <w:rFonts w:ascii="宋体" w:hAnsi="宋体" w:eastAsia="宋体" w:cs="宋体"/>
          <w:spacing w:val="5"/>
          <w:sz w:val="21"/>
          <w:szCs w:val="21"/>
        </w:rPr>
        <w:t>~</w:t>
      </w:r>
    </w:p>
    <w:p>
      <w:pPr>
        <w:spacing w:before="86" w:line="283" w:lineRule="auto"/>
        <w:ind w:left="104" w:right="12"/>
        <w:jc w:val="both"/>
        <w:rPr>
          <w:rFonts w:ascii="宋体" w:hAnsi="宋体" w:eastAsia="宋体" w:cs="宋体"/>
          <w:sz w:val="21"/>
          <w:szCs w:val="21"/>
        </w:rPr>
      </w:pPr>
      <w:r>
        <w:rPr>
          <w:rFonts w:ascii="Times New Roman" w:hAnsi="Times New Roman" w:eastAsia="Times New Roman" w:cs="Times New Roman"/>
          <w:spacing w:val="-5"/>
          <w:sz w:val="21"/>
          <w:szCs w:val="21"/>
        </w:rPr>
        <w:t>0.70MPa</w:t>
      </w:r>
      <w:r>
        <w:rPr>
          <w:rFonts w:ascii="宋体" w:hAnsi="宋体" w:eastAsia="宋体" w:cs="宋体"/>
          <w:spacing w:val="-5"/>
          <w:sz w:val="21"/>
          <w:szCs w:val="21"/>
        </w:rPr>
        <w:t>时，减压稳压消火栓出口压力</w:t>
      </w:r>
      <w:r>
        <w:rPr>
          <w:rFonts w:ascii="宋体" w:hAnsi="宋体" w:eastAsia="宋体" w:cs="宋体"/>
          <w:spacing w:val="-6"/>
          <w:sz w:val="21"/>
          <w:szCs w:val="21"/>
        </w:rPr>
        <w:t>为0.25</w:t>
      </w:r>
      <w:r>
        <w:rPr>
          <w:rFonts w:ascii="Times New Roman" w:hAnsi="Times New Roman" w:eastAsia="Times New Roman" w:cs="Times New Roman"/>
          <w:spacing w:val="-6"/>
          <w:sz w:val="21"/>
          <w:szCs w:val="21"/>
        </w:rPr>
        <w:t>MPa</w:t>
      </w:r>
      <w:r>
        <w:rPr>
          <w:rFonts w:ascii="宋体" w:hAnsi="宋体" w:eastAsia="宋体" w:cs="宋体"/>
          <w:spacing w:val="-6"/>
          <w:sz w:val="21"/>
          <w:szCs w:val="21"/>
        </w:rPr>
        <w:t>～</w:t>
      </w:r>
      <w:r>
        <w:rPr>
          <w:rFonts w:ascii="Times New Roman" w:hAnsi="Times New Roman" w:eastAsia="Times New Roman" w:cs="Times New Roman"/>
          <w:spacing w:val="-6"/>
          <w:sz w:val="21"/>
          <w:szCs w:val="21"/>
        </w:rPr>
        <w:t>0.40MPa,</w:t>
      </w:r>
      <w:r>
        <w:rPr>
          <w:rFonts w:ascii="宋体" w:hAnsi="宋体" w:eastAsia="宋体" w:cs="宋体"/>
          <w:spacing w:val="-6"/>
          <w:sz w:val="21"/>
          <w:szCs w:val="21"/>
        </w:rPr>
        <w:t>无</w:t>
      </w:r>
      <w:r>
        <w:rPr>
          <w:rFonts w:ascii="宋体" w:hAnsi="宋体" w:eastAsia="宋体" w:cs="宋体"/>
          <w:spacing w:val="-3"/>
          <w:sz w:val="21"/>
          <w:szCs w:val="21"/>
        </w:rPr>
        <w:t>法满足规范要求。当栓前动压为0.50</w:t>
      </w:r>
      <w:r>
        <w:rPr>
          <w:rFonts w:ascii="Times New Roman" w:hAnsi="Times New Roman" w:eastAsia="Times New Roman" w:cs="Times New Roman"/>
          <w:spacing w:val="-3"/>
          <w:sz w:val="21"/>
          <w:szCs w:val="21"/>
        </w:rPr>
        <w:t>MPa</w:t>
      </w:r>
      <w:r>
        <w:rPr>
          <w:rFonts w:ascii="宋体" w:hAnsi="宋体" w:eastAsia="宋体" w:cs="宋体"/>
          <w:spacing w:val="-3"/>
          <w:sz w:val="21"/>
          <w:szCs w:val="21"/>
        </w:rPr>
        <w:t>～</w:t>
      </w:r>
      <w:r>
        <w:rPr>
          <w:rFonts w:ascii="Times New Roman" w:hAnsi="Times New Roman" w:eastAsia="Times New Roman" w:cs="Times New Roman"/>
          <w:spacing w:val="-3"/>
          <w:sz w:val="21"/>
          <w:szCs w:val="21"/>
        </w:rPr>
        <w:t>0.70M</w:t>
      </w:r>
      <w:r>
        <w:rPr>
          <w:rFonts w:ascii="Times New Roman" w:hAnsi="Times New Roman" w:eastAsia="Times New Roman" w:cs="Times New Roman"/>
          <w:spacing w:val="-4"/>
          <w:sz w:val="21"/>
          <w:szCs w:val="21"/>
        </w:rPr>
        <w:t>Pa</w:t>
      </w:r>
      <w:r>
        <w:rPr>
          <w:rFonts w:ascii="宋体" w:hAnsi="宋体" w:eastAsia="宋体" w:cs="宋体"/>
          <w:spacing w:val="-4"/>
          <w:sz w:val="21"/>
          <w:szCs w:val="21"/>
        </w:rPr>
        <w:t>时，可采</w:t>
      </w:r>
      <w:r>
        <w:rPr>
          <w:rFonts w:ascii="宋体" w:hAnsi="宋体" w:eastAsia="宋体" w:cs="宋体"/>
          <w:spacing w:val="-1"/>
          <w:sz w:val="21"/>
          <w:szCs w:val="21"/>
        </w:rPr>
        <w:t>用减压孔板或者满足减压后压力可以达到0.35</w:t>
      </w:r>
      <w:r>
        <w:rPr>
          <w:rFonts w:ascii="Times New Roman" w:hAnsi="Times New Roman" w:eastAsia="Times New Roman" w:cs="Times New Roman"/>
          <w:spacing w:val="-1"/>
          <w:sz w:val="21"/>
          <w:szCs w:val="21"/>
        </w:rPr>
        <w:t>MPa</w:t>
      </w:r>
      <w:r>
        <w:rPr>
          <w:rFonts w:ascii="宋体" w:hAnsi="宋体" w:eastAsia="宋体" w:cs="宋体"/>
          <w:spacing w:val="-1"/>
          <w:sz w:val="21"/>
          <w:szCs w:val="21"/>
        </w:rPr>
        <w:t>的减压稳压</w:t>
      </w:r>
    </w:p>
    <w:p>
      <w:pPr>
        <w:spacing w:line="283" w:lineRule="auto"/>
        <w:rPr>
          <w:rFonts w:ascii="宋体" w:hAnsi="宋体" w:eastAsia="宋体" w:cs="宋体"/>
          <w:sz w:val="21"/>
          <w:szCs w:val="21"/>
        </w:rPr>
        <w:sectPr>
          <w:footerReference r:id="rId97" w:type="default"/>
          <w:pgSz w:w="8280" w:h="11850"/>
          <w:pgMar w:top="400" w:right="1207" w:bottom="1290" w:left="1095" w:header="0" w:footer="1017" w:gutter="0"/>
          <w:cols w:space="720" w:num="1"/>
        </w:sectPr>
      </w:pPr>
    </w:p>
    <w:p>
      <w:pPr>
        <w:pStyle w:val="2"/>
        <w:spacing w:line="286" w:lineRule="auto"/>
      </w:pPr>
    </w:p>
    <w:p>
      <w:pPr>
        <w:pStyle w:val="2"/>
        <w:spacing w:line="286" w:lineRule="auto"/>
      </w:pPr>
    </w:p>
    <w:p>
      <w:pPr>
        <w:pStyle w:val="2"/>
        <w:spacing w:line="286" w:lineRule="auto"/>
      </w:pPr>
    </w:p>
    <w:p>
      <w:pPr>
        <w:spacing w:before="65" w:line="219" w:lineRule="auto"/>
        <w:rPr>
          <w:rFonts w:ascii="宋体" w:hAnsi="宋体" w:eastAsia="宋体" w:cs="宋体"/>
          <w:sz w:val="20"/>
          <w:szCs w:val="20"/>
        </w:rPr>
      </w:pPr>
      <w:r>
        <w:rPr>
          <w:rFonts w:ascii="宋体" w:hAnsi="宋体" w:eastAsia="宋体" w:cs="宋体"/>
          <w:spacing w:val="2"/>
          <w:sz w:val="20"/>
          <w:szCs w:val="20"/>
        </w:rPr>
        <w:t>消火栓。</w:t>
      </w:r>
    </w:p>
    <w:p>
      <w:pPr>
        <w:spacing w:before="79" w:line="188" w:lineRule="auto"/>
        <w:rPr>
          <w:rFonts w:ascii="Times New Roman" w:hAnsi="Times New Roman" w:eastAsia="Times New Roman" w:cs="Times New Roman"/>
          <w:sz w:val="25"/>
          <w:szCs w:val="25"/>
        </w:rPr>
      </w:pPr>
      <w:r>
        <w:rPr>
          <w:rFonts w:ascii="Times New Roman" w:hAnsi="Times New Roman" w:eastAsia="Times New Roman" w:cs="Times New Roman"/>
          <w:b/>
          <w:bCs/>
          <w:spacing w:val="-2"/>
          <w:sz w:val="25"/>
          <w:szCs w:val="25"/>
        </w:rPr>
        <w:t>5.4.4</w:t>
      </w:r>
    </w:p>
    <w:p>
      <w:pPr>
        <w:spacing w:before="95" w:line="287" w:lineRule="auto"/>
        <w:ind w:right="23" w:firstLine="429"/>
        <w:jc w:val="both"/>
        <w:rPr>
          <w:rFonts w:ascii="宋体" w:hAnsi="宋体" w:eastAsia="宋体" w:cs="宋体"/>
          <w:sz w:val="20"/>
          <w:szCs w:val="20"/>
        </w:rPr>
      </w:pPr>
      <w:r>
        <w:rPr>
          <w:rFonts w:ascii="宋体" w:hAnsi="宋体" w:eastAsia="宋体" w:cs="宋体"/>
          <w:spacing w:val="14"/>
          <w:sz w:val="20"/>
          <w:szCs w:val="20"/>
        </w:rPr>
        <w:t>第2款民用建筑设置的屋顶停机坪如要求按现行行业标</w:t>
      </w:r>
      <w:r>
        <w:rPr>
          <w:rFonts w:ascii="宋体" w:hAnsi="宋体" w:eastAsia="宋体" w:cs="宋体"/>
          <w:spacing w:val="5"/>
          <w:sz w:val="20"/>
          <w:szCs w:val="20"/>
        </w:rPr>
        <w:t>准《民用直升机场飞行场地技术标准》</w:t>
      </w:r>
      <w:r>
        <w:rPr>
          <w:rFonts w:ascii="宋体" w:hAnsi="宋体" w:eastAsia="宋体" w:cs="宋体"/>
          <w:sz w:val="20"/>
          <w:szCs w:val="20"/>
        </w:rPr>
        <w:t>MH</w:t>
      </w:r>
      <w:r>
        <w:rPr>
          <w:rFonts w:ascii="宋体" w:hAnsi="宋体" w:eastAsia="宋体" w:cs="宋体"/>
          <w:spacing w:val="5"/>
          <w:sz w:val="20"/>
          <w:szCs w:val="20"/>
        </w:rPr>
        <w:t>5013的相关规定设计</w:t>
      </w:r>
      <w:r>
        <w:rPr>
          <w:rFonts w:ascii="宋体" w:hAnsi="宋体" w:eastAsia="宋体" w:cs="宋体"/>
          <w:spacing w:val="9"/>
          <w:sz w:val="20"/>
          <w:szCs w:val="20"/>
        </w:rPr>
        <w:t>直升机停机坪，则该停机坪应按《民用直升机场飞</w:t>
      </w:r>
      <w:r>
        <w:rPr>
          <w:rFonts w:ascii="宋体" w:hAnsi="宋体" w:eastAsia="宋体" w:cs="宋体"/>
          <w:spacing w:val="8"/>
          <w:sz w:val="20"/>
          <w:szCs w:val="20"/>
        </w:rPr>
        <w:t>行场地技术标</w:t>
      </w:r>
      <w:r>
        <w:rPr>
          <w:rFonts w:ascii="宋体" w:hAnsi="宋体" w:eastAsia="宋体" w:cs="宋体"/>
          <w:spacing w:val="6"/>
          <w:sz w:val="20"/>
          <w:szCs w:val="20"/>
        </w:rPr>
        <w:t>准》</w:t>
      </w:r>
      <w:r>
        <w:rPr>
          <w:rFonts w:ascii="Times New Roman" w:hAnsi="Times New Roman" w:eastAsia="Times New Roman" w:cs="Times New Roman"/>
          <w:sz w:val="20"/>
          <w:szCs w:val="20"/>
        </w:rPr>
        <w:t>MH</w:t>
      </w:r>
      <w:r>
        <w:rPr>
          <w:rFonts w:ascii="Times New Roman" w:hAnsi="Times New Roman" w:eastAsia="Times New Roman" w:cs="Times New Roman"/>
          <w:spacing w:val="6"/>
          <w:sz w:val="20"/>
          <w:szCs w:val="20"/>
        </w:rPr>
        <w:t>5013</w:t>
      </w:r>
      <w:r>
        <w:rPr>
          <w:rFonts w:ascii="宋体" w:hAnsi="宋体" w:eastAsia="宋体" w:cs="宋体"/>
          <w:spacing w:val="6"/>
          <w:sz w:val="20"/>
          <w:szCs w:val="20"/>
        </w:rPr>
        <w:t>的相关规定设置泡沫消火</w:t>
      </w:r>
      <w:r>
        <w:rPr>
          <w:rFonts w:ascii="宋体" w:hAnsi="宋体" w:eastAsia="宋体" w:cs="宋体"/>
          <w:spacing w:val="5"/>
          <w:sz w:val="20"/>
          <w:szCs w:val="20"/>
        </w:rPr>
        <w:t>栓消防给水系统。如该建筑仅配置直升机悬停坪，则无需设置泡沐消火栓</w:t>
      </w:r>
      <w:r>
        <w:rPr>
          <w:rFonts w:ascii="宋体" w:hAnsi="宋体" w:eastAsia="宋体" w:cs="宋体"/>
          <w:spacing w:val="4"/>
          <w:sz w:val="20"/>
          <w:szCs w:val="20"/>
        </w:rPr>
        <w:t>及给水系统。</w:t>
      </w:r>
    </w:p>
    <w:p>
      <w:pPr>
        <w:spacing w:before="51" w:line="286" w:lineRule="auto"/>
        <w:ind w:right="12" w:firstLine="429"/>
        <w:jc w:val="both"/>
        <w:rPr>
          <w:rFonts w:ascii="宋体" w:hAnsi="宋体" w:eastAsia="宋体" w:cs="宋体"/>
          <w:sz w:val="20"/>
          <w:szCs w:val="20"/>
        </w:rPr>
      </w:pPr>
      <w:r>
        <w:rPr>
          <w:rFonts w:ascii="宋体" w:hAnsi="宋体" w:eastAsia="宋体" w:cs="宋体"/>
          <w:spacing w:val="15"/>
          <w:sz w:val="20"/>
          <w:szCs w:val="20"/>
        </w:rPr>
        <w:t>2003年上海市人民政府令第12号《上海市城市规划</w:t>
      </w:r>
      <w:r>
        <w:rPr>
          <w:rFonts w:ascii="宋体" w:hAnsi="宋体" w:eastAsia="宋体" w:cs="宋体"/>
          <w:spacing w:val="14"/>
          <w:sz w:val="20"/>
          <w:szCs w:val="20"/>
        </w:rPr>
        <w:t>管理技</w:t>
      </w:r>
      <w:r>
        <w:rPr>
          <w:rFonts w:ascii="宋体" w:hAnsi="宋体" w:eastAsia="宋体" w:cs="宋体"/>
          <w:spacing w:val="2"/>
          <w:sz w:val="20"/>
          <w:szCs w:val="20"/>
        </w:rPr>
        <w:t>术规定(土地使用建筑管理)》提出，局部突出屋顶的瞭望塔、</w:t>
      </w:r>
      <w:r>
        <w:rPr>
          <w:rFonts w:ascii="宋体" w:hAnsi="宋体" w:eastAsia="宋体" w:cs="宋体"/>
          <w:spacing w:val="1"/>
          <w:sz w:val="20"/>
          <w:szCs w:val="20"/>
        </w:rPr>
        <w:t>冷却</w:t>
      </w:r>
      <w:r>
        <w:rPr>
          <w:rFonts w:ascii="宋体" w:hAnsi="宋体" w:eastAsia="宋体" w:cs="宋体"/>
          <w:spacing w:val="2"/>
          <w:sz w:val="20"/>
          <w:szCs w:val="20"/>
        </w:rPr>
        <w:t>塔、水箱间、微波天线间或设施、电梯机房、排</w:t>
      </w:r>
      <w:r>
        <w:rPr>
          <w:rFonts w:ascii="宋体" w:hAnsi="宋体" w:eastAsia="宋体" w:cs="宋体"/>
          <w:spacing w:val="1"/>
          <w:sz w:val="20"/>
          <w:szCs w:val="20"/>
        </w:rPr>
        <w:t>风和排烟机房以及</w:t>
      </w:r>
      <w:r>
        <w:rPr>
          <w:rFonts w:ascii="宋体" w:hAnsi="宋体" w:eastAsia="宋体" w:cs="宋体"/>
          <w:spacing w:val="19"/>
          <w:sz w:val="20"/>
          <w:szCs w:val="20"/>
        </w:rPr>
        <w:t>楼梯出口小间等辅助用房占屋面面积不大于1/8者可不计入容</w:t>
      </w:r>
      <w:r>
        <w:rPr>
          <w:rFonts w:ascii="宋体" w:hAnsi="宋体" w:eastAsia="宋体" w:cs="宋体"/>
          <w:spacing w:val="3"/>
          <w:sz w:val="20"/>
          <w:szCs w:val="20"/>
        </w:rPr>
        <w:t>积率。现行国家标准《建筑防烟排烟系统技术标准》</w:t>
      </w:r>
      <w:r>
        <w:rPr>
          <w:rFonts w:ascii="Times New Roman" w:hAnsi="Times New Roman" w:eastAsia="Times New Roman" w:cs="Times New Roman"/>
          <w:sz w:val="20"/>
          <w:szCs w:val="20"/>
        </w:rPr>
        <w:t>GB</w:t>
      </w:r>
      <w:r>
        <w:rPr>
          <w:rFonts w:ascii="Times New Roman" w:hAnsi="Times New Roman" w:eastAsia="Times New Roman" w:cs="Times New Roman"/>
          <w:spacing w:val="3"/>
          <w:sz w:val="20"/>
          <w:szCs w:val="20"/>
        </w:rPr>
        <w:t>51</w:t>
      </w:r>
      <w:r>
        <w:rPr>
          <w:rFonts w:ascii="Times New Roman" w:hAnsi="Times New Roman" w:eastAsia="Times New Roman" w:cs="Times New Roman"/>
          <w:spacing w:val="2"/>
          <w:sz w:val="20"/>
          <w:szCs w:val="20"/>
        </w:rPr>
        <w:t>251</w:t>
      </w:r>
      <w:r>
        <w:rPr>
          <w:rFonts w:ascii="宋体" w:hAnsi="宋体" w:eastAsia="宋体" w:cs="宋体"/>
          <w:spacing w:val="2"/>
          <w:sz w:val="20"/>
          <w:szCs w:val="20"/>
        </w:rPr>
        <w:t>规定，屋顶排烟风机、加压送风机房与其他通风机、空调</w:t>
      </w:r>
      <w:r>
        <w:rPr>
          <w:rFonts w:ascii="宋体" w:hAnsi="宋体" w:eastAsia="宋体" w:cs="宋体"/>
          <w:spacing w:val="1"/>
          <w:sz w:val="20"/>
          <w:szCs w:val="20"/>
        </w:rPr>
        <w:t>机合用机房</w:t>
      </w:r>
      <w:r>
        <w:rPr>
          <w:rFonts w:ascii="宋体" w:hAnsi="宋体" w:eastAsia="宋体" w:cs="宋体"/>
          <w:spacing w:val="9"/>
          <w:sz w:val="20"/>
          <w:szCs w:val="20"/>
        </w:rPr>
        <w:t>内应设置自动喷水灭火系统。故本条规定，除屋顶排烟风机、加压送风机与其他通风机、空调机合用机房，或设有集装箱变</w:t>
      </w:r>
      <w:r>
        <w:rPr>
          <w:rFonts w:ascii="宋体" w:hAnsi="宋体" w:eastAsia="宋体" w:cs="宋体"/>
          <w:spacing w:val="8"/>
          <w:sz w:val="20"/>
          <w:szCs w:val="20"/>
        </w:rPr>
        <w:t>配电</w:t>
      </w:r>
      <w:r>
        <w:rPr>
          <w:rFonts w:ascii="宋体" w:hAnsi="宋体" w:eastAsia="宋体" w:cs="宋体"/>
          <w:spacing w:val="9"/>
          <w:sz w:val="20"/>
          <w:szCs w:val="20"/>
        </w:rPr>
        <w:t>间以及冷却塔附近应设置消火栓外，其余屋顶层不计入建筑容积率、局部突出屋顶的设备机房等处可不设置消火栓。当屋顶排烟</w:t>
      </w:r>
      <w:r>
        <w:rPr>
          <w:rFonts w:ascii="宋体" w:hAnsi="宋体" w:eastAsia="宋体" w:cs="宋体"/>
          <w:spacing w:val="4"/>
          <w:sz w:val="20"/>
          <w:szCs w:val="20"/>
        </w:rPr>
        <w:t>机房与通风机房不合用时，屋顶可仅设试验消火栓。</w:t>
      </w:r>
    </w:p>
    <w:p>
      <w:pPr>
        <w:spacing w:before="55" w:line="287" w:lineRule="auto"/>
        <w:ind w:right="12" w:firstLine="429"/>
        <w:rPr>
          <w:rFonts w:ascii="宋体" w:hAnsi="宋体" w:eastAsia="宋体" w:cs="宋体"/>
          <w:sz w:val="20"/>
          <w:szCs w:val="20"/>
        </w:rPr>
      </w:pPr>
      <w:r>
        <w:rPr>
          <w:rFonts w:ascii="宋体" w:hAnsi="宋体" w:eastAsia="宋体" w:cs="宋体"/>
          <w:spacing w:val="9"/>
          <w:sz w:val="20"/>
          <w:szCs w:val="20"/>
        </w:rPr>
        <w:t>设备层和管道层的含义不同，设备层布置设备</w:t>
      </w:r>
      <w:r>
        <w:rPr>
          <w:rFonts w:ascii="宋体" w:hAnsi="宋体" w:eastAsia="宋体" w:cs="宋体"/>
          <w:spacing w:val="8"/>
          <w:sz w:val="20"/>
          <w:szCs w:val="20"/>
        </w:rPr>
        <w:t>和管道，空间</w:t>
      </w:r>
      <w:r>
        <w:rPr>
          <w:rFonts w:ascii="宋体" w:hAnsi="宋体" w:eastAsia="宋体" w:cs="宋体"/>
          <w:spacing w:val="9"/>
          <w:sz w:val="20"/>
          <w:szCs w:val="20"/>
        </w:rPr>
        <w:t>高度上考虑人员通行；而管道层只布置管道，可不</w:t>
      </w:r>
      <w:r>
        <w:rPr>
          <w:rFonts w:ascii="宋体" w:hAnsi="宋体" w:eastAsia="宋体" w:cs="宋体"/>
          <w:spacing w:val="8"/>
          <w:sz w:val="20"/>
          <w:szCs w:val="20"/>
        </w:rPr>
        <w:t>考虑人员站立</w:t>
      </w:r>
      <w:r>
        <w:rPr>
          <w:rFonts w:ascii="宋体" w:hAnsi="宋体" w:eastAsia="宋体" w:cs="宋体"/>
          <w:spacing w:val="9"/>
          <w:sz w:val="20"/>
          <w:szCs w:val="20"/>
        </w:rPr>
        <w:t>通行，其高度往往小于2.2</w:t>
      </w:r>
      <w:r>
        <w:rPr>
          <w:rFonts w:ascii="Times New Roman" w:hAnsi="Times New Roman" w:eastAsia="Times New Roman" w:cs="Times New Roman"/>
          <w:spacing w:val="9"/>
          <w:sz w:val="20"/>
          <w:szCs w:val="20"/>
        </w:rPr>
        <w:t>m,</w:t>
      </w:r>
      <w:r>
        <w:rPr>
          <w:rFonts w:ascii="宋体" w:hAnsi="宋体" w:eastAsia="宋体" w:cs="宋体"/>
          <w:spacing w:val="9"/>
          <w:sz w:val="20"/>
          <w:szCs w:val="20"/>
        </w:rPr>
        <w:t>不计入建筑面积。</w:t>
      </w:r>
      <w:r>
        <w:rPr>
          <w:rFonts w:ascii="宋体" w:hAnsi="宋体" w:eastAsia="宋体" w:cs="宋体"/>
          <w:spacing w:val="8"/>
          <w:sz w:val="20"/>
          <w:szCs w:val="20"/>
        </w:rPr>
        <w:t>故对于设备层和</w:t>
      </w:r>
      <w:r>
        <w:rPr>
          <w:rFonts w:ascii="宋体" w:hAnsi="宋体" w:eastAsia="宋体" w:cs="宋体"/>
          <w:spacing w:val="5"/>
          <w:sz w:val="20"/>
          <w:szCs w:val="20"/>
        </w:rPr>
        <w:t>考虑人员站立通行的管道层；应设置消火栓；对于层高小于</w:t>
      </w:r>
      <w:r>
        <w:rPr>
          <w:rFonts w:ascii="宋体" w:hAnsi="宋体" w:eastAsia="宋体" w:cs="宋体"/>
          <w:spacing w:val="4"/>
          <w:sz w:val="20"/>
          <w:szCs w:val="20"/>
        </w:rPr>
        <w:t>2.2m且人员无法站立通行的管道层，可不设消火栓。</w:t>
      </w:r>
    </w:p>
    <w:p>
      <w:pPr>
        <w:spacing w:before="29" w:line="284" w:lineRule="auto"/>
        <w:ind w:firstLine="429"/>
        <w:jc w:val="both"/>
        <w:rPr>
          <w:rFonts w:ascii="宋体" w:hAnsi="宋体" w:eastAsia="宋体" w:cs="宋体"/>
          <w:sz w:val="20"/>
          <w:szCs w:val="20"/>
        </w:rPr>
      </w:pPr>
      <w:r>
        <w:rPr>
          <w:rFonts w:ascii="宋体" w:hAnsi="宋体" w:eastAsia="宋体" w:cs="宋体"/>
          <w:spacing w:val="6"/>
          <w:sz w:val="20"/>
          <w:szCs w:val="20"/>
        </w:rPr>
        <w:t>第4款由于冷库常年处于低温高湿环境，冷库内发生</w:t>
      </w:r>
      <w:r>
        <w:rPr>
          <w:rFonts w:ascii="宋体" w:hAnsi="宋体" w:eastAsia="宋体" w:cs="宋体"/>
          <w:spacing w:val="5"/>
          <w:sz w:val="20"/>
          <w:szCs w:val="20"/>
        </w:rPr>
        <w:t>火灾</w:t>
      </w:r>
      <w:r>
        <w:rPr>
          <w:rFonts w:ascii="宋体" w:hAnsi="宋体" w:eastAsia="宋体" w:cs="宋体"/>
          <w:spacing w:val="9"/>
          <w:sz w:val="20"/>
          <w:szCs w:val="20"/>
        </w:rPr>
        <w:t>的概率较小，并且初期火灾蔓延可控，因此在冷库的</w:t>
      </w:r>
      <w:r>
        <w:rPr>
          <w:rFonts w:ascii="宋体" w:hAnsi="宋体" w:eastAsia="宋体" w:cs="宋体"/>
          <w:spacing w:val="8"/>
          <w:sz w:val="20"/>
          <w:szCs w:val="20"/>
        </w:rPr>
        <w:t>冷藏间内可</w:t>
      </w:r>
      <w:r>
        <w:rPr>
          <w:rFonts w:ascii="宋体" w:hAnsi="宋体" w:eastAsia="宋体" w:cs="宋体"/>
          <w:spacing w:val="9"/>
          <w:sz w:val="20"/>
          <w:szCs w:val="20"/>
        </w:rPr>
        <w:t>不布置消火栓，但在冷库穿堂及楼梯间内设置的消火</w:t>
      </w:r>
      <w:r>
        <w:rPr>
          <w:rFonts w:ascii="宋体" w:hAnsi="宋体" w:eastAsia="宋体" w:cs="宋体"/>
          <w:spacing w:val="8"/>
          <w:sz w:val="20"/>
          <w:szCs w:val="20"/>
        </w:rPr>
        <w:t>栓要满足其</w:t>
      </w:r>
      <w:r>
        <w:rPr>
          <w:rFonts w:ascii="宋体" w:hAnsi="宋体" w:eastAsia="宋体" w:cs="宋体"/>
          <w:spacing w:val="9"/>
          <w:sz w:val="20"/>
          <w:szCs w:val="20"/>
        </w:rPr>
        <w:t>所在场所两股水柱的要求。直流开花喷射方式的实现是</w:t>
      </w:r>
      <w:r>
        <w:rPr>
          <w:rFonts w:ascii="宋体" w:hAnsi="宋体" w:eastAsia="宋体" w:cs="宋体"/>
          <w:spacing w:val="8"/>
          <w:sz w:val="20"/>
          <w:szCs w:val="20"/>
        </w:rPr>
        <w:t>通过在栓口配置旋转枪头防护套来达到直流水柱、开花水流、雾状水流及</w:t>
      </w:r>
      <w:r>
        <w:rPr>
          <w:rFonts w:ascii="宋体" w:hAnsi="宋体" w:eastAsia="宋体" w:cs="宋体"/>
          <w:spacing w:val="9"/>
          <w:sz w:val="20"/>
          <w:szCs w:val="20"/>
        </w:rPr>
        <w:t>枪膛高压冲洗多种喷射方式切换，水枪喷口前端设有</w:t>
      </w:r>
      <w:r>
        <w:rPr>
          <w:rFonts w:ascii="宋体" w:hAnsi="宋体" w:eastAsia="宋体" w:cs="宋体"/>
          <w:spacing w:val="8"/>
          <w:sz w:val="20"/>
          <w:szCs w:val="20"/>
        </w:rPr>
        <w:t>喷雾牙轮可</w:t>
      </w:r>
    </w:p>
    <w:p>
      <w:pPr>
        <w:spacing w:line="284" w:lineRule="auto"/>
        <w:rPr>
          <w:rFonts w:ascii="宋体" w:hAnsi="宋体" w:eastAsia="宋体" w:cs="宋体"/>
          <w:sz w:val="20"/>
          <w:szCs w:val="20"/>
        </w:rPr>
        <w:sectPr>
          <w:footerReference r:id="rId98" w:type="default"/>
          <w:pgSz w:w="8280" w:h="11850"/>
          <w:pgMar w:top="400" w:right="1207" w:bottom="1374" w:left="1200" w:header="0" w:footer="1050" w:gutter="0"/>
          <w:cols w:space="720" w:num="1"/>
        </w:sectPr>
      </w:pPr>
    </w:p>
    <w:p>
      <w:pPr>
        <w:pStyle w:val="2"/>
        <w:spacing w:line="290" w:lineRule="auto"/>
      </w:pPr>
    </w:p>
    <w:p>
      <w:pPr>
        <w:pStyle w:val="2"/>
        <w:spacing w:line="290" w:lineRule="auto"/>
      </w:pPr>
    </w:p>
    <w:p>
      <w:pPr>
        <w:pStyle w:val="2"/>
        <w:spacing w:line="290" w:lineRule="auto"/>
      </w:pPr>
    </w:p>
    <w:p>
      <w:pPr>
        <w:spacing w:before="68" w:line="219" w:lineRule="auto"/>
        <w:ind w:left="3"/>
        <w:rPr>
          <w:rFonts w:ascii="宋体" w:hAnsi="宋体" w:eastAsia="宋体" w:cs="宋体"/>
          <w:sz w:val="21"/>
          <w:szCs w:val="21"/>
        </w:rPr>
      </w:pPr>
      <w:bookmarkStart w:id="86" w:name="bookmark115"/>
      <w:bookmarkEnd w:id="86"/>
      <w:bookmarkStart w:id="87" w:name="bookmark135"/>
      <w:bookmarkEnd w:id="87"/>
      <w:r>
        <w:rPr>
          <w:rFonts w:ascii="宋体" w:hAnsi="宋体" w:eastAsia="宋体" w:cs="宋体"/>
          <w:b/>
          <w:bCs/>
          <w:spacing w:val="-2"/>
          <w:sz w:val="21"/>
          <w:szCs w:val="21"/>
        </w:rPr>
        <w:t>以使雾状更细化，呈伞形状时能吸收热量和吸附烟尘，能降低热</w:t>
      </w:r>
    </w:p>
    <w:p>
      <w:pPr>
        <w:spacing w:before="75" w:line="219" w:lineRule="auto"/>
        <w:rPr>
          <w:rFonts w:ascii="宋体" w:hAnsi="宋体" w:eastAsia="宋体" w:cs="宋体"/>
          <w:sz w:val="21"/>
          <w:szCs w:val="21"/>
        </w:rPr>
      </w:pPr>
      <w:r>
        <w:rPr>
          <w:rFonts w:ascii="宋体" w:hAnsi="宋体" w:eastAsia="宋体" w:cs="宋体"/>
          <w:spacing w:val="-7"/>
          <w:sz w:val="21"/>
          <w:szCs w:val="21"/>
        </w:rPr>
        <w:t>辐热量，从而保护消防战士人身安全。</w:t>
      </w:r>
    </w:p>
    <w:p>
      <w:pPr>
        <w:spacing w:before="67" w:line="280" w:lineRule="auto"/>
        <w:ind w:right="95" w:firstLine="439"/>
        <w:jc w:val="both"/>
        <w:rPr>
          <w:rFonts w:ascii="宋体" w:hAnsi="宋体" w:eastAsia="宋体" w:cs="宋体"/>
          <w:sz w:val="21"/>
          <w:szCs w:val="21"/>
        </w:rPr>
      </w:pPr>
      <w:r>
        <w:rPr>
          <w:rFonts w:ascii="宋体" w:hAnsi="宋体" w:eastAsia="宋体" w:cs="宋体"/>
          <w:spacing w:val="21"/>
          <w:sz w:val="21"/>
          <w:szCs w:val="21"/>
        </w:rPr>
        <w:t>第8款住宅在前期方案阶段应充分考虑消火栓的设置位</w:t>
      </w:r>
      <w:r>
        <w:rPr>
          <w:rFonts w:ascii="宋体" w:hAnsi="宋体" w:eastAsia="宋体" w:cs="宋体"/>
          <w:sz w:val="21"/>
          <w:szCs w:val="21"/>
        </w:rPr>
        <w:t>置并复核其保护距离。现行国家标准《消防给</w:t>
      </w:r>
      <w:r>
        <w:rPr>
          <w:rFonts w:ascii="宋体" w:hAnsi="宋体" w:eastAsia="宋体" w:cs="宋体"/>
          <w:spacing w:val="-1"/>
          <w:sz w:val="21"/>
          <w:szCs w:val="21"/>
        </w:rPr>
        <w:t>水及消火栓系统技</w:t>
      </w:r>
      <w:r>
        <w:rPr>
          <w:rFonts w:ascii="宋体" w:hAnsi="宋体" w:eastAsia="宋体" w:cs="宋体"/>
          <w:spacing w:val="4"/>
          <w:sz w:val="21"/>
          <w:szCs w:val="21"/>
        </w:rPr>
        <w:t>术规范》</w:t>
      </w:r>
      <w:r>
        <w:rPr>
          <w:rFonts w:ascii="宋体" w:hAnsi="宋体" w:eastAsia="宋体" w:cs="宋体"/>
          <w:sz w:val="21"/>
          <w:szCs w:val="21"/>
        </w:rPr>
        <w:t>GB</w:t>
      </w:r>
      <w:r>
        <w:rPr>
          <w:rFonts w:ascii="宋体" w:hAnsi="宋体" w:eastAsia="宋体" w:cs="宋体"/>
          <w:spacing w:val="4"/>
          <w:sz w:val="21"/>
          <w:szCs w:val="21"/>
        </w:rPr>
        <w:t>50974未涉及可采用双阀双出口消火栓。两个消火</w:t>
      </w:r>
      <w:r>
        <w:rPr>
          <w:rFonts w:ascii="宋体" w:hAnsi="宋体" w:eastAsia="宋体" w:cs="宋体"/>
          <w:spacing w:val="12"/>
          <w:sz w:val="21"/>
          <w:szCs w:val="21"/>
        </w:rPr>
        <w:t>栓装在同一个地方，包括双立管双栓(每根立管接出一个</w:t>
      </w:r>
      <w:r>
        <w:rPr>
          <w:rFonts w:ascii="宋体" w:hAnsi="宋体" w:eastAsia="宋体" w:cs="宋体"/>
          <w:spacing w:val="11"/>
          <w:sz w:val="21"/>
          <w:szCs w:val="21"/>
        </w:rPr>
        <w:t>消火</w:t>
      </w:r>
      <w:r>
        <w:rPr>
          <w:rFonts w:ascii="宋体" w:hAnsi="宋体" w:eastAsia="宋体" w:cs="宋体"/>
          <w:spacing w:val="-4"/>
          <w:sz w:val="21"/>
          <w:szCs w:val="21"/>
        </w:rPr>
        <w:t>栓)均会降低消火栓系统的安全性，故住宅仍应采用单立管单栓。</w:t>
      </w:r>
    </w:p>
    <w:p>
      <w:pPr>
        <w:spacing w:before="3" w:line="279" w:lineRule="auto"/>
        <w:ind w:right="91" w:firstLine="439"/>
        <w:jc w:val="both"/>
        <w:rPr>
          <w:rFonts w:ascii="宋体" w:hAnsi="宋体" w:eastAsia="宋体" w:cs="宋体"/>
          <w:sz w:val="21"/>
          <w:szCs w:val="21"/>
        </w:rPr>
      </w:pPr>
      <w:r>
        <w:rPr>
          <w:rFonts w:ascii="宋体" w:hAnsi="宋体" w:eastAsia="宋体" w:cs="宋体"/>
          <w:spacing w:val="-2"/>
          <w:sz w:val="21"/>
          <w:szCs w:val="21"/>
        </w:rPr>
        <w:t>第9款汽车库、停车库内设置的消火栓，应保证消火栓箱</w:t>
      </w:r>
      <w:r>
        <w:rPr>
          <w:rFonts w:ascii="宋体" w:hAnsi="宋体" w:eastAsia="宋体" w:cs="宋体"/>
          <w:spacing w:val="-1"/>
          <w:sz w:val="21"/>
          <w:szCs w:val="21"/>
        </w:rPr>
        <w:t>水平投影在划定车位范围以外，且不能占用车道净宽。消火栓应</w:t>
      </w:r>
      <w:r>
        <w:rPr>
          <w:rFonts w:ascii="宋体" w:hAnsi="宋体" w:eastAsia="宋体" w:cs="宋体"/>
          <w:sz w:val="21"/>
          <w:szCs w:val="21"/>
        </w:rPr>
        <w:t>在正常停车状态下便于操作，不应设置在车</w:t>
      </w:r>
      <w:r>
        <w:rPr>
          <w:rFonts w:ascii="宋体" w:hAnsi="宋体" w:eastAsia="宋体" w:cs="宋体"/>
          <w:spacing w:val="-1"/>
          <w:sz w:val="21"/>
          <w:szCs w:val="21"/>
        </w:rPr>
        <w:t>位尾部。当确有困难时，消火栓箱可设置在靠近汽车通道的柱子背面，但应于车行道侧增设文字标识并设置指示其位置的发光标志。</w:t>
      </w:r>
    </w:p>
    <w:p>
      <w:pPr>
        <w:spacing w:before="1" w:line="274" w:lineRule="auto"/>
        <w:ind w:right="94" w:firstLine="439"/>
        <w:rPr>
          <w:rFonts w:ascii="宋体" w:hAnsi="宋体" w:eastAsia="宋体" w:cs="宋体"/>
          <w:sz w:val="21"/>
          <w:szCs w:val="21"/>
        </w:rPr>
      </w:pPr>
      <w:r>
        <w:rPr>
          <w:rFonts w:ascii="宋体" w:hAnsi="宋体" w:eastAsia="宋体" w:cs="宋体"/>
          <w:spacing w:val="8"/>
          <w:sz w:val="21"/>
          <w:szCs w:val="21"/>
        </w:rPr>
        <w:t>第10款合用室内消火栓系统的建筑群，宜在每个单体建</w:t>
      </w:r>
      <w:r>
        <w:rPr>
          <w:rFonts w:ascii="宋体" w:hAnsi="宋体" w:eastAsia="宋体" w:cs="宋体"/>
          <w:spacing w:val="-4"/>
          <w:sz w:val="21"/>
          <w:szCs w:val="21"/>
        </w:rPr>
        <w:t>筑屋顶均设置试验消火栓。</w:t>
      </w:r>
    </w:p>
    <w:p>
      <w:pPr>
        <w:spacing w:before="6" w:line="273" w:lineRule="auto"/>
        <w:ind w:firstLine="439"/>
        <w:jc w:val="both"/>
        <w:rPr>
          <w:rFonts w:ascii="宋体" w:hAnsi="宋体" w:eastAsia="宋体" w:cs="宋体"/>
          <w:sz w:val="21"/>
          <w:szCs w:val="21"/>
        </w:rPr>
      </w:pPr>
      <w:r>
        <w:rPr>
          <w:rFonts w:ascii="宋体" w:hAnsi="宋体" w:eastAsia="宋体" w:cs="宋体"/>
          <w:spacing w:val="8"/>
          <w:sz w:val="21"/>
          <w:szCs w:val="21"/>
        </w:rPr>
        <w:t>第14款同一建筑物内应采用统一规格的消火栓、水枪和</w:t>
      </w:r>
      <w:r>
        <w:rPr>
          <w:rFonts w:ascii="宋体" w:hAnsi="宋体" w:eastAsia="宋体" w:cs="宋体"/>
          <w:spacing w:val="-1"/>
          <w:sz w:val="21"/>
          <w:szCs w:val="21"/>
        </w:rPr>
        <w:t>水带，水带应采用有衬里型。采用旋转型室内消火栓时，应明确</w:t>
      </w:r>
      <w:r>
        <w:rPr>
          <w:rFonts w:ascii="宋体" w:hAnsi="宋体" w:eastAsia="宋体" w:cs="宋体"/>
          <w:spacing w:val="7"/>
          <w:sz w:val="21"/>
          <w:szCs w:val="21"/>
        </w:rPr>
        <w:t>旋转型室内消火栓旋转部位的材料须采用铜合金或奥氏体不锈</w:t>
      </w:r>
      <w:r>
        <w:rPr>
          <w:rFonts w:ascii="宋体" w:hAnsi="宋体" w:eastAsia="宋体" w:cs="宋体"/>
          <w:sz w:val="21"/>
          <w:szCs w:val="21"/>
        </w:rPr>
        <w:t>钢等耐腐蚀材料制作，以防止旋转部位在使用</w:t>
      </w:r>
      <w:r>
        <w:rPr>
          <w:rFonts w:ascii="宋体" w:hAnsi="宋体" w:eastAsia="宋体" w:cs="宋体"/>
          <w:spacing w:val="-1"/>
          <w:sz w:val="21"/>
          <w:szCs w:val="21"/>
        </w:rPr>
        <w:t>中发生锈死。通常</w:t>
      </w:r>
      <w:r>
        <w:rPr>
          <w:rFonts w:ascii="宋体" w:hAnsi="宋体" w:eastAsia="宋体" w:cs="宋体"/>
          <w:spacing w:val="16"/>
          <w:sz w:val="21"/>
          <w:szCs w:val="21"/>
        </w:rPr>
        <w:t>采用的带灭火器箱组合式消防柜厚度有240</w:t>
      </w:r>
      <w:r>
        <w:rPr>
          <w:rFonts w:ascii="Times New Roman" w:hAnsi="Times New Roman" w:eastAsia="Times New Roman" w:cs="Times New Roman"/>
          <w:sz w:val="21"/>
          <w:szCs w:val="21"/>
        </w:rPr>
        <w:t>mm</w:t>
      </w:r>
      <w:r>
        <w:rPr>
          <w:rFonts w:ascii="宋体" w:hAnsi="宋体" w:eastAsia="宋体" w:cs="宋体"/>
          <w:spacing w:val="16"/>
          <w:sz w:val="21"/>
          <w:szCs w:val="21"/>
        </w:rPr>
        <w:t>、</w:t>
      </w:r>
      <w:r>
        <w:rPr>
          <w:rFonts w:ascii="Times New Roman" w:hAnsi="Times New Roman" w:eastAsia="Times New Roman" w:cs="Times New Roman"/>
          <w:spacing w:val="16"/>
          <w:sz w:val="21"/>
          <w:szCs w:val="21"/>
        </w:rPr>
        <w:t>200</w:t>
      </w:r>
      <w:r>
        <w:rPr>
          <w:rFonts w:ascii="Times New Roman" w:hAnsi="Times New Roman" w:eastAsia="Times New Roman" w:cs="Times New Roman"/>
          <w:sz w:val="21"/>
          <w:szCs w:val="21"/>
        </w:rPr>
        <w:t>mm</w:t>
      </w:r>
      <w:r>
        <w:rPr>
          <w:rFonts w:ascii="宋体" w:hAnsi="宋体" w:eastAsia="宋体" w:cs="宋体"/>
          <w:spacing w:val="16"/>
          <w:sz w:val="21"/>
          <w:szCs w:val="21"/>
        </w:rPr>
        <w:t>、</w:t>
      </w:r>
      <w:r>
        <w:rPr>
          <w:rFonts w:ascii="Times New Roman" w:hAnsi="Times New Roman" w:eastAsia="Times New Roman" w:cs="Times New Roman"/>
          <w:spacing w:val="-4"/>
          <w:sz w:val="21"/>
          <w:szCs w:val="21"/>
        </w:rPr>
        <w:t>180mm</w:t>
      </w:r>
      <w:r>
        <w:rPr>
          <w:rFonts w:ascii="宋体" w:hAnsi="宋体" w:eastAsia="宋体" w:cs="宋体"/>
          <w:spacing w:val="-4"/>
          <w:sz w:val="21"/>
          <w:szCs w:val="21"/>
        </w:rPr>
        <w:t>、</w:t>
      </w:r>
      <w:r>
        <w:rPr>
          <w:rFonts w:ascii="Times New Roman" w:hAnsi="Times New Roman" w:eastAsia="Times New Roman" w:cs="Times New Roman"/>
          <w:spacing w:val="-4"/>
          <w:sz w:val="21"/>
          <w:szCs w:val="21"/>
        </w:rPr>
        <w:t>160mm</w:t>
      </w:r>
      <w:r>
        <w:rPr>
          <w:rFonts w:ascii="宋体" w:hAnsi="宋体" w:eastAsia="宋体" w:cs="宋体"/>
          <w:spacing w:val="-4"/>
          <w:sz w:val="21"/>
          <w:szCs w:val="21"/>
        </w:rPr>
        <w:t>等规格，设计可根据土建和装饰嵌墙条件选择，</w:t>
      </w:r>
      <w:r>
        <w:rPr>
          <w:rFonts w:ascii="宋体" w:hAnsi="宋体" w:eastAsia="宋体" w:cs="宋体"/>
          <w:spacing w:val="8"/>
          <w:sz w:val="21"/>
          <w:szCs w:val="21"/>
        </w:rPr>
        <w:t>但灭火器箱尺寸必须满足场所所需配置灭火器充装量及数量要求。消火栓嵌墙安装时，应在消火栓后加设相同耐火极限的隔</w:t>
      </w:r>
      <w:r>
        <w:rPr>
          <w:rFonts w:ascii="宋体" w:hAnsi="宋体" w:eastAsia="宋体" w:cs="宋体"/>
          <w:spacing w:val="-11"/>
          <w:sz w:val="21"/>
          <w:szCs w:val="21"/>
        </w:rPr>
        <w:t>墙，以满足防火要求。</w:t>
      </w:r>
    </w:p>
    <w:p>
      <w:pPr>
        <w:spacing w:before="52" w:line="280" w:lineRule="auto"/>
        <w:ind w:right="71" w:firstLine="439"/>
        <w:jc w:val="both"/>
        <w:rPr>
          <w:rFonts w:ascii="宋体" w:hAnsi="宋体" w:eastAsia="宋体" w:cs="宋体"/>
          <w:sz w:val="21"/>
          <w:szCs w:val="21"/>
        </w:rPr>
      </w:pPr>
      <w:r>
        <w:rPr>
          <w:rFonts w:ascii="宋体" w:hAnsi="宋体" w:eastAsia="宋体" w:cs="宋体"/>
          <w:spacing w:val="4"/>
          <w:sz w:val="21"/>
          <w:szCs w:val="21"/>
        </w:rPr>
        <w:t>第16款作为供消防水带穿越的孔洞，其大小和位置要根据</w:t>
      </w:r>
      <w:r>
        <w:rPr>
          <w:rFonts w:ascii="宋体" w:hAnsi="宋体" w:eastAsia="宋体" w:cs="宋体"/>
          <w:spacing w:val="-7"/>
          <w:sz w:val="21"/>
          <w:szCs w:val="21"/>
        </w:rPr>
        <w:t>具体情况确定。对于设置室内消火栓的前室或楼梯间，可以考虑一条水带穿越的需要，即在从楼梯间或前室进入楼层部位的墙体下部</w:t>
      </w:r>
      <w:r>
        <w:rPr>
          <w:rFonts w:ascii="宋体" w:hAnsi="宋体" w:eastAsia="宋体" w:cs="宋体"/>
          <w:sz w:val="21"/>
          <w:szCs w:val="21"/>
        </w:rPr>
        <w:t>合适位置设置一个直径130</w:t>
      </w:r>
      <w:r>
        <w:rPr>
          <w:rFonts w:ascii="Times New Roman" w:hAnsi="Times New Roman" w:eastAsia="Times New Roman" w:cs="Times New Roman"/>
          <w:sz w:val="21"/>
          <w:szCs w:val="21"/>
        </w:rPr>
        <w:t>mm</w:t>
      </w:r>
      <w:r>
        <w:rPr>
          <w:rFonts w:ascii="宋体" w:hAnsi="宋体" w:eastAsia="宋体" w:cs="宋体"/>
          <w:sz w:val="21"/>
          <w:szCs w:val="21"/>
        </w:rPr>
        <w:t>的圆形孔口，孔洞设置位置及高度应便于消防救援人员操作，穿越孔中心距地面宜为0.30</w:t>
      </w:r>
      <w:r>
        <w:rPr>
          <w:rFonts w:ascii="Times New Roman" w:hAnsi="Times New Roman" w:eastAsia="Times New Roman" w:cs="Times New Roman"/>
          <w:sz w:val="21"/>
          <w:szCs w:val="21"/>
        </w:rPr>
        <w:t>m</w:t>
      </w:r>
      <w:r>
        <w:rPr>
          <w:rFonts w:ascii="宋体" w:hAnsi="宋体" w:eastAsia="宋体" w:cs="宋体"/>
          <w:sz w:val="21"/>
          <w:szCs w:val="21"/>
        </w:rPr>
        <w:t>。</w:t>
      </w:r>
    </w:p>
    <w:p>
      <w:pPr>
        <w:spacing w:before="1" w:line="219" w:lineRule="auto"/>
        <w:ind w:left="3"/>
        <w:rPr>
          <w:rFonts w:ascii="宋体" w:hAnsi="宋体" w:eastAsia="宋体" w:cs="宋体"/>
          <w:sz w:val="21"/>
          <w:szCs w:val="21"/>
        </w:rPr>
      </w:pPr>
      <w:r>
        <w:rPr>
          <w:rFonts w:ascii="宋体" w:hAnsi="宋体" w:eastAsia="宋体" w:cs="宋体"/>
          <w:b/>
          <w:bCs/>
          <w:spacing w:val="3"/>
          <w:sz w:val="21"/>
          <w:szCs w:val="21"/>
        </w:rPr>
        <w:t>5.4.6</w:t>
      </w:r>
      <w:r>
        <w:rPr>
          <w:rFonts w:ascii="宋体" w:hAnsi="宋体" w:eastAsia="宋体" w:cs="宋体"/>
          <w:spacing w:val="3"/>
          <w:sz w:val="21"/>
          <w:szCs w:val="21"/>
        </w:rPr>
        <w:t>室内消火栓系统阀门、管网设置应保证每个防火分区在</w:t>
      </w:r>
    </w:p>
    <w:p>
      <w:pPr>
        <w:spacing w:line="219" w:lineRule="auto"/>
        <w:rPr>
          <w:rFonts w:ascii="宋体" w:hAnsi="宋体" w:eastAsia="宋体" w:cs="宋体"/>
          <w:sz w:val="21"/>
          <w:szCs w:val="21"/>
        </w:rPr>
        <w:sectPr>
          <w:footerReference r:id="rId99" w:type="default"/>
          <w:pgSz w:w="8280" w:h="11850"/>
          <w:pgMar w:top="400" w:right="1136" w:bottom="1290" w:left="1160" w:header="0" w:footer="1017" w:gutter="0"/>
          <w:cols w:space="720" w:num="1"/>
        </w:sectPr>
      </w:pPr>
    </w:p>
    <w:p>
      <w:pPr>
        <w:pStyle w:val="2"/>
        <w:spacing w:line="284" w:lineRule="auto"/>
      </w:pPr>
    </w:p>
    <w:p>
      <w:pPr>
        <w:pStyle w:val="2"/>
        <w:spacing w:line="284" w:lineRule="auto"/>
      </w:pPr>
    </w:p>
    <w:p>
      <w:pPr>
        <w:pStyle w:val="2"/>
        <w:spacing w:line="285" w:lineRule="auto"/>
      </w:pPr>
    </w:p>
    <w:p>
      <w:pPr>
        <w:spacing w:before="69" w:line="273" w:lineRule="auto"/>
        <w:jc w:val="both"/>
        <w:rPr>
          <w:rFonts w:ascii="宋体" w:hAnsi="宋体" w:eastAsia="宋体" w:cs="宋体"/>
          <w:sz w:val="21"/>
          <w:szCs w:val="21"/>
        </w:rPr>
      </w:pPr>
      <w:bookmarkStart w:id="88" w:name="bookmark136"/>
      <w:bookmarkEnd w:id="88"/>
      <w:bookmarkStart w:id="89" w:name="bookmark116"/>
      <w:bookmarkEnd w:id="89"/>
      <w:r>
        <w:rPr>
          <w:rFonts w:ascii="宋体" w:hAnsi="宋体" w:eastAsia="宋体" w:cs="宋体"/>
          <w:spacing w:val="1"/>
          <w:sz w:val="21"/>
          <w:szCs w:val="21"/>
        </w:rPr>
        <w:t>检修时仍有消防供水。对于必须满足两股水柱同时到</w:t>
      </w:r>
      <w:r>
        <w:rPr>
          <w:rFonts w:ascii="宋体" w:hAnsi="宋体" w:eastAsia="宋体" w:cs="宋体"/>
          <w:sz w:val="21"/>
          <w:szCs w:val="21"/>
        </w:rPr>
        <w:t>达的建筑，</w:t>
      </w:r>
      <w:r>
        <w:rPr>
          <w:rFonts w:ascii="宋体" w:hAnsi="宋体" w:eastAsia="宋体" w:cs="宋体"/>
          <w:spacing w:val="1"/>
          <w:sz w:val="21"/>
          <w:szCs w:val="21"/>
        </w:rPr>
        <w:t>其中存在采用竖向成环布置确有困难的场所，如人防</w:t>
      </w:r>
      <w:r>
        <w:rPr>
          <w:rFonts w:ascii="宋体" w:hAnsi="宋体" w:eastAsia="宋体" w:cs="宋体"/>
          <w:sz w:val="21"/>
          <w:szCs w:val="21"/>
        </w:rPr>
        <w:t>防护单元、</w:t>
      </w:r>
      <w:r>
        <w:rPr>
          <w:rFonts w:ascii="宋体" w:hAnsi="宋体" w:eastAsia="宋体" w:cs="宋体"/>
          <w:spacing w:val="-2"/>
          <w:sz w:val="21"/>
          <w:szCs w:val="21"/>
        </w:rPr>
        <w:t>隧道、机场航站楼、会展等大跨度且上下层</w:t>
      </w:r>
      <w:r>
        <w:rPr>
          <w:rFonts w:ascii="宋体" w:hAnsi="宋体" w:eastAsia="宋体" w:cs="宋体"/>
          <w:spacing w:val="-3"/>
          <w:sz w:val="21"/>
          <w:szCs w:val="21"/>
        </w:rPr>
        <w:t>功能不同或平面复杂建筑，可采用设消火栓系统供水双立管并在每层接出横管使消火</w:t>
      </w:r>
      <w:r>
        <w:rPr>
          <w:rFonts w:ascii="宋体" w:hAnsi="宋体" w:eastAsia="宋体" w:cs="宋体"/>
          <w:spacing w:val="5"/>
          <w:sz w:val="21"/>
          <w:szCs w:val="21"/>
        </w:rPr>
        <w:t>栓管网水平成环布置方式，水平环上各消火栓支管上宜增设阀</w:t>
      </w:r>
      <w:r>
        <w:rPr>
          <w:rFonts w:ascii="宋体" w:hAnsi="宋体" w:eastAsia="宋体" w:cs="宋体"/>
          <w:spacing w:val="-3"/>
          <w:sz w:val="21"/>
          <w:szCs w:val="21"/>
        </w:rPr>
        <w:t>门，且水平环管上阀门设置应确保每段消火栓的数量小于或等于</w:t>
      </w:r>
      <w:r>
        <w:rPr>
          <w:rFonts w:ascii="宋体" w:hAnsi="宋体" w:eastAsia="宋体" w:cs="宋体"/>
          <w:spacing w:val="1"/>
          <w:sz w:val="21"/>
          <w:szCs w:val="21"/>
        </w:rPr>
        <w:t>5个。室内消火栓不超过10个的汽车库、停车库和人防工程，可</w:t>
      </w:r>
      <w:r>
        <w:rPr>
          <w:rFonts w:ascii="宋体" w:hAnsi="宋体" w:eastAsia="宋体" w:cs="宋体"/>
          <w:spacing w:val="-2"/>
          <w:sz w:val="21"/>
          <w:szCs w:val="21"/>
        </w:rPr>
        <w:t>采用局部独立枝状管网。</w:t>
      </w:r>
    </w:p>
    <w:p>
      <w:pPr>
        <w:pStyle w:val="2"/>
        <w:spacing w:before="45" w:line="284" w:lineRule="auto"/>
        <w:ind w:right="84"/>
        <w:rPr>
          <w:rFonts w:ascii="宋体" w:hAnsi="宋体" w:eastAsia="宋体" w:cs="宋体"/>
        </w:rPr>
      </w:pPr>
      <w:r>
        <w:rPr>
          <w:b/>
          <w:bCs/>
          <w:spacing w:val="2"/>
        </w:rPr>
        <w:t>5.4.7</w:t>
      </w:r>
      <w:r>
        <w:rPr>
          <w:rFonts w:ascii="宋体" w:hAnsi="宋体" w:eastAsia="宋体" w:cs="宋体"/>
          <w:spacing w:val="2"/>
        </w:rPr>
        <w:t>采用减压阀分区的室内消防给水系统，减压阀后的管网</w:t>
      </w:r>
      <w:r>
        <w:rPr>
          <w:rFonts w:ascii="宋体" w:hAnsi="宋体" w:eastAsia="宋体" w:cs="宋体"/>
          <w:spacing w:val="-4"/>
        </w:rPr>
        <w:t>竖管顶部应设自动排气阀。</w:t>
      </w:r>
    </w:p>
    <w:p>
      <w:pPr>
        <w:spacing w:before="300" w:line="219" w:lineRule="auto"/>
        <w:ind w:left="1512"/>
        <w:rPr>
          <w:rFonts w:ascii="宋体" w:hAnsi="宋体" w:eastAsia="宋体" w:cs="宋体"/>
          <w:sz w:val="21"/>
          <w:szCs w:val="21"/>
        </w:rPr>
      </w:pPr>
      <w:r>
        <w:rPr>
          <w:rFonts w:ascii="宋体" w:hAnsi="宋体" w:eastAsia="宋体" w:cs="宋体"/>
          <w:b/>
          <w:bCs/>
          <w:spacing w:val="-3"/>
          <w:sz w:val="21"/>
          <w:szCs w:val="21"/>
        </w:rPr>
        <w:t>5.5压缩空气泡沫消火栓系统</w:t>
      </w:r>
    </w:p>
    <w:p>
      <w:pPr>
        <w:pStyle w:val="2"/>
        <w:spacing w:line="313" w:lineRule="auto"/>
      </w:pPr>
    </w:p>
    <w:p>
      <w:pPr>
        <w:spacing w:before="69" w:line="219" w:lineRule="auto"/>
        <w:jc w:val="right"/>
        <w:rPr>
          <w:rFonts w:ascii="宋体" w:hAnsi="宋体" w:eastAsia="宋体" w:cs="宋体"/>
          <w:sz w:val="21"/>
          <w:szCs w:val="21"/>
        </w:rPr>
      </w:pPr>
      <w:r>
        <w:rPr>
          <w:rFonts w:ascii="宋体" w:hAnsi="宋体" w:eastAsia="宋体" w:cs="宋体"/>
          <w:spacing w:val="13"/>
          <w:sz w:val="21"/>
          <w:szCs w:val="21"/>
        </w:rPr>
        <w:t>5.5.1超高层建筑中压缩空气泡沫的输送方式有以下3种：</w:t>
      </w:r>
    </w:p>
    <w:p>
      <w:pPr>
        <w:spacing w:before="37" w:line="270" w:lineRule="auto"/>
        <w:ind w:right="70"/>
        <w:rPr>
          <w:rFonts w:ascii="宋体" w:hAnsi="宋体" w:eastAsia="宋体" w:cs="宋体"/>
          <w:sz w:val="21"/>
          <w:szCs w:val="21"/>
        </w:rPr>
      </w:pPr>
      <w:r>
        <w:rPr>
          <w:rFonts w:ascii="宋体" w:hAnsi="宋体" w:eastAsia="宋体" w:cs="宋体"/>
          <w:spacing w:val="-1"/>
          <w:sz w:val="21"/>
          <w:szCs w:val="21"/>
        </w:rPr>
        <w:t>①压缩空气泡沫消防车</w:t>
      </w:r>
      <w:r>
        <w:rPr>
          <w:rFonts w:ascii="Times New Roman" w:hAnsi="Times New Roman" w:eastAsia="Times New Roman" w:cs="Times New Roman"/>
          <w:spacing w:val="-1"/>
          <w:sz w:val="21"/>
          <w:szCs w:val="21"/>
        </w:rPr>
        <w:t>(CAFS</w:t>
      </w:r>
      <w:r>
        <w:rPr>
          <w:rFonts w:ascii="宋体" w:hAnsi="宋体" w:eastAsia="宋体" w:cs="宋体"/>
          <w:spacing w:val="-1"/>
          <w:sz w:val="21"/>
          <w:szCs w:val="21"/>
        </w:rPr>
        <w:t>消防车)连接水泵接合器通过专用</w:t>
      </w:r>
      <w:r>
        <w:rPr>
          <w:rFonts w:ascii="宋体" w:hAnsi="宋体" w:eastAsia="宋体" w:cs="宋体"/>
          <w:spacing w:val="-2"/>
          <w:sz w:val="21"/>
          <w:szCs w:val="21"/>
        </w:rPr>
        <w:t>管网(干式)向上输送压缩空气泡沫进行灭火；②</w:t>
      </w:r>
      <w:r>
        <w:rPr>
          <w:rFonts w:ascii="宋体" w:hAnsi="宋体" w:eastAsia="宋体" w:cs="宋体"/>
          <w:spacing w:val="-3"/>
          <w:sz w:val="21"/>
          <w:szCs w:val="21"/>
        </w:rPr>
        <w:t>设置在屋顶层的</w:t>
      </w:r>
      <w:r>
        <w:rPr>
          <w:rFonts w:ascii="宋体" w:hAnsi="宋体" w:eastAsia="宋体" w:cs="宋体"/>
          <w:spacing w:val="-1"/>
          <w:sz w:val="21"/>
          <w:szCs w:val="21"/>
        </w:rPr>
        <w:t>固定式压缩空气泡沐灭火装置(CAFS)通过专用管网向下输送压</w:t>
      </w:r>
      <w:r>
        <w:rPr>
          <w:rFonts w:ascii="宋体" w:hAnsi="宋体" w:eastAsia="宋体" w:cs="宋体"/>
          <w:spacing w:val="-2"/>
          <w:sz w:val="21"/>
          <w:szCs w:val="21"/>
        </w:rPr>
        <w:t>缩空气泡沫进行灭火；③设置在超高层建筑</w:t>
      </w:r>
      <w:r>
        <w:rPr>
          <w:rFonts w:ascii="宋体" w:hAnsi="宋体" w:eastAsia="宋体" w:cs="宋体"/>
          <w:spacing w:val="-3"/>
          <w:sz w:val="21"/>
          <w:szCs w:val="21"/>
        </w:rPr>
        <w:t>的避难层或设备层的</w:t>
      </w:r>
      <w:r>
        <w:rPr>
          <w:rFonts w:ascii="宋体" w:hAnsi="宋体" w:eastAsia="宋体" w:cs="宋体"/>
          <w:spacing w:val="5"/>
          <w:sz w:val="21"/>
          <w:szCs w:val="21"/>
        </w:rPr>
        <w:t>固定式压缩空气泡沫灭火装置通过专用管网根据着火楼层位置</w:t>
      </w:r>
      <w:r>
        <w:rPr>
          <w:rFonts w:ascii="宋体" w:hAnsi="宋体" w:eastAsia="宋体" w:cs="宋体"/>
          <w:spacing w:val="2"/>
          <w:sz w:val="21"/>
          <w:szCs w:val="21"/>
        </w:rPr>
        <w:t>向上及向下输送压缩空气泡沫进行灭火。方法①</w:t>
      </w:r>
      <w:r>
        <w:rPr>
          <w:rFonts w:ascii="宋体" w:hAnsi="宋体" w:eastAsia="宋体" w:cs="宋体"/>
          <w:spacing w:val="1"/>
          <w:sz w:val="21"/>
          <w:szCs w:val="21"/>
        </w:rPr>
        <w:t>和方法②,可用</w:t>
      </w:r>
      <w:r>
        <w:rPr>
          <w:rFonts w:ascii="宋体" w:hAnsi="宋体" w:eastAsia="宋体" w:cs="宋体"/>
          <w:spacing w:val="7"/>
          <w:sz w:val="21"/>
          <w:szCs w:val="21"/>
        </w:rPr>
        <w:t>于建筑高度小于或等于200m时。当建筑高度大于200</w:t>
      </w:r>
      <w:r>
        <w:rPr>
          <w:rFonts w:ascii="宋体" w:hAnsi="宋体" w:eastAsia="宋体" w:cs="宋体"/>
          <w:spacing w:val="6"/>
          <w:sz w:val="21"/>
          <w:szCs w:val="21"/>
        </w:rPr>
        <w:t>m时宜</w:t>
      </w:r>
      <w:r>
        <w:rPr>
          <w:rFonts w:ascii="宋体" w:hAnsi="宋体" w:eastAsia="宋体" w:cs="宋体"/>
          <w:spacing w:val="5"/>
          <w:sz w:val="21"/>
          <w:szCs w:val="21"/>
        </w:rPr>
        <w:t>采用方法③配备压缩空气泡沫灭火系统。超高层建筑在配备压</w:t>
      </w:r>
      <w:r>
        <w:rPr>
          <w:rFonts w:ascii="宋体" w:hAnsi="宋体" w:eastAsia="宋体" w:cs="宋体"/>
          <w:spacing w:val="-3"/>
          <w:sz w:val="21"/>
          <w:szCs w:val="21"/>
        </w:rPr>
        <w:t>缩空气泡沫快速输送系统后，一旦发生火灾，消防救援人员可迅</w:t>
      </w:r>
      <w:r>
        <w:rPr>
          <w:rFonts w:ascii="宋体" w:hAnsi="宋体" w:eastAsia="宋体" w:cs="宋体"/>
          <w:spacing w:val="6"/>
          <w:sz w:val="21"/>
          <w:szCs w:val="21"/>
        </w:rPr>
        <w:t>速将</w:t>
      </w:r>
      <w:r>
        <w:rPr>
          <w:rFonts w:ascii="Times New Roman" w:hAnsi="Times New Roman" w:eastAsia="Times New Roman" w:cs="Times New Roman"/>
          <w:sz w:val="21"/>
          <w:szCs w:val="21"/>
        </w:rPr>
        <w:t>CAFS</w:t>
      </w:r>
      <w:r>
        <w:rPr>
          <w:rFonts w:ascii="宋体" w:hAnsi="宋体" w:eastAsia="宋体" w:cs="宋体"/>
          <w:spacing w:val="6"/>
          <w:sz w:val="21"/>
          <w:szCs w:val="21"/>
        </w:rPr>
        <w:t>消防车内的压缩空气泡沫快速输送到着火楼层和着</w:t>
      </w:r>
      <w:r>
        <w:rPr>
          <w:rFonts w:ascii="宋体" w:hAnsi="宋体" w:eastAsia="宋体" w:cs="宋体"/>
          <w:spacing w:val="-1"/>
          <w:sz w:val="21"/>
          <w:szCs w:val="21"/>
        </w:rPr>
        <w:t>火区域进行灭火作业，即便是400</w:t>
      </w:r>
      <w:r>
        <w:rPr>
          <w:rFonts w:ascii="Times New Roman" w:hAnsi="Times New Roman" w:eastAsia="Times New Roman" w:cs="Times New Roman"/>
          <w:spacing w:val="-1"/>
          <w:sz w:val="21"/>
          <w:szCs w:val="21"/>
        </w:rPr>
        <w:t>m</w:t>
      </w:r>
      <w:r>
        <w:rPr>
          <w:rFonts w:ascii="宋体" w:hAnsi="宋体" w:eastAsia="宋体" w:cs="宋体"/>
          <w:spacing w:val="-1"/>
          <w:sz w:val="21"/>
          <w:szCs w:val="21"/>
        </w:rPr>
        <w:t>以上的超高层建筑，也可以</w:t>
      </w:r>
      <w:r>
        <w:rPr>
          <w:rFonts w:ascii="宋体" w:hAnsi="宋体" w:eastAsia="宋体" w:cs="宋体"/>
          <w:spacing w:val="-2"/>
          <w:sz w:val="21"/>
          <w:szCs w:val="21"/>
        </w:rPr>
        <w:t>通过超高层建筑内部设置的固定式压缩空气泡沫灭火装置，利用</w:t>
      </w:r>
      <w:r>
        <w:rPr>
          <w:rFonts w:ascii="宋体" w:hAnsi="宋体" w:eastAsia="宋体" w:cs="宋体"/>
          <w:spacing w:val="-9"/>
          <w:sz w:val="21"/>
          <w:szCs w:val="21"/>
        </w:rPr>
        <w:t>快速输送管网，采取固移结合的方式，扑灭建筑内部的初期火灾。</w:t>
      </w:r>
    </w:p>
    <w:p>
      <w:pPr>
        <w:spacing w:before="141" w:line="250" w:lineRule="auto"/>
        <w:ind w:right="59"/>
        <w:rPr>
          <w:rFonts w:ascii="宋体" w:hAnsi="宋体" w:eastAsia="宋体" w:cs="宋体"/>
          <w:sz w:val="21"/>
          <w:szCs w:val="21"/>
        </w:rPr>
      </w:pPr>
      <w:r>
        <w:rPr>
          <w:rFonts w:ascii="宋体" w:hAnsi="宋体" w:eastAsia="宋体" w:cs="宋体"/>
          <w:spacing w:val="2"/>
          <w:sz w:val="21"/>
          <w:szCs w:val="21"/>
        </w:rPr>
        <w:t>5.5.2作为水灭火系统的补充，压缩空气泡沫灭火系统的保护</w:t>
      </w:r>
      <w:r>
        <w:rPr>
          <w:rFonts w:ascii="宋体" w:hAnsi="宋体" w:eastAsia="宋体" w:cs="宋体"/>
          <w:spacing w:val="5"/>
          <w:sz w:val="21"/>
          <w:szCs w:val="21"/>
        </w:rPr>
        <w:t>范围宜为常规消防车最大垂直供水高度以上的各楼层。发生火</w:t>
      </w:r>
    </w:p>
    <w:p>
      <w:pPr>
        <w:spacing w:line="250" w:lineRule="auto"/>
        <w:rPr>
          <w:rFonts w:ascii="宋体" w:hAnsi="宋体" w:eastAsia="宋体" w:cs="宋体"/>
          <w:sz w:val="21"/>
          <w:szCs w:val="21"/>
        </w:rPr>
        <w:sectPr>
          <w:footerReference r:id="rId100" w:type="default"/>
          <w:pgSz w:w="8280" w:h="11850"/>
          <w:pgMar w:top="400" w:right="1164" w:bottom="1350" w:left="1210" w:header="0" w:footer="1077" w:gutter="0"/>
          <w:cols w:space="720" w:num="1"/>
        </w:sectPr>
      </w:pPr>
    </w:p>
    <w:p>
      <w:pPr>
        <w:pStyle w:val="2"/>
        <w:spacing w:line="297" w:lineRule="auto"/>
      </w:pPr>
    </w:p>
    <w:p>
      <w:pPr>
        <w:pStyle w:val="2"/>
        <w:spacing w:line="297" w:lineRule="auto"/>
      </w:pPr>
    </w:p>
    <w:p>
      <w:pPr>
        <w:pStyle w:val="2"/>
        <w:spacing w:line="298" w:lineRule="auto"/>
      </w:pPr>
    </w:p>
    <w:p>
      <w:pPr>
        <w:spacing w:before="68" w:line="275" w:lineRule="auto"/>
        <w:jc w:val="both"/>
        <w:rPr>
          <w:rFonts w:ascii="宋体" w:hAnsi="宋体" w:eastAsia="宋体" w:cs="宋体"/>
          <w:sz w:val="21"/>
          <w:szCs w:val="21"/>
        </w:rPr>
      </w:pPr>
      <w:bookmarkStart w:id="90" w:name="bookmark137"/>
      <w:bookmarkEnd w:id="90"/>
      <w:bookmarkStart w:id="91" w:name="bookmark117"/>
      <w:bookmarkEnd w:id="91"/>
      <w:r>
        <w:rPr>
          <w:rFonts w:ascii="宋体" w:hAnsi="宋体" w:eastAsia="宋体" w:cs="宋体"/>
          <w:spacing w:val="-1"/>
          <w:sz w:val="21"/>
          <w:szCs w:val="21"/>
        </w:rPr>
        <w:t>灾时，消防队员无需沿楼梯攀登及敷设水带至着火点，只需乘坐消防电梯至着火点的楼层，通过设在消防电梯前室的消火栓连接</w:t>
      </w:r>
      <w:r>
        <w:rPr>
          <w:rFonts w:ascii="宋体" w:hAnsi="宋体" w:eastAsia="宋体" w:cs="宋体"/>
          <w:spacing w:val="2"/>
          <w:sz w:val="21"/>
          <w:szCs w:val="21"/>
        </w:rPr>
        <w:t>水龙带，采用压缩空气泡沫进行灭火。设置双阀双出口消火栓，</w:t>
      </w:r>
      <w:r>
        <w:rPr>
          <w:rFonts w:ascii="宋体" w:hAnsi="宋体" w:eastAsia="宋体" w:cs="宋体"/>
          <w:spacing w:val="7"/>
          <w:sz w:val="21"/>
          <w:szCs w:val="21"/>
        </w:rPr>
        <w:t>目的是确保有两股水柱能同时到达该层最不利点。当设置有多</w:t>
      </w:r>
      <w:r>
        <w:rPr>
          <w:rFonts w:ascii="宋体" w:hAnsi="宋体" w:eastAsia="宋体" w:cs="宋体"/>
          <w:spacing w:val="-1"/>
          <w:sz w:val="21"/>
          <w:szCs w:val="21"/>
        </w:rPr>
        <w:t>处消防电梯前室时，可仅在其中1处消防电梯前室设置。</w:t>
      </w:r>
    </w:p>
    <w:p>
      <w:pPr>
        <w:pStyle w:val="2"/>
        <w:spacing w:before="1" w:line="274" w:lineRule="auto"/>
        <w:ind w:right="35"/>
        <w:rPr>
          <w:rFonts w:ascii="宋体" w:hAnsi="宋体" w:eastAsia="宋体" w:cs="宋体"/>
        </w:rPr>
      </w:pPr>
      <w:r>
        <w:rPr>
          <w:spacing w:val="3"/>
        </w:rPr>
        <w:t>5.5.3</w:t>
      </w:r>
      <w:r>
        <w:rPr>
          <w:rFonts w:ascii="宋体" w:hAnsi="宋体" w:eastAsia="宋体" w:cs="宋体"/>
          <w:spacing w:val="3"/>
        </w:rPr>
        <w:t>压缩空气泡沫在长距离消防管网输送过程中，管网内压</w:t>
      </w:r>
      <w:r>
        <w:rPr>
          <w:rFonts w:ascii="宋体" w:hAnsi="宋体" w:eastAsia="宋体" w:cs="宋体"/>
          <w:spacing w:val="-1"/>
        </w:rPr>
        <w:t>力随输送距离衰减，管网直径对其内部压力建立时间有影响。经</w:t>
      </w:r>
      <w:r>
        <w:rPr>
          <w:rFonts w:ascii="宋体" w:hAnsi="宋体" w:eastAsia="宋体" w:cs="宋体"/>
        </w:rPr>
        <w:t>试验证明，</w:t>
      </w:r>
      <w:r>
        <w:rPr>
          <w:rFonts w:ascii="Times New Roman" w:hAnsi="Times New Roman" w:eastAsia="Times New Roman" w:cs="Times New Roman"/>
        </w:rPr>
        <w:t>DN80</w:t>
      </w:r>
      <w:r>
        <w:rPr>
          <w:rFonts w:ascii="宋体" w:hAnsi="宋体" w:eastAsia="宋体" w:cs="宋体"/>
        </w:rPr>
        <w:t>管网泡沫输送速度较</w:t>
      </w:r>
      <w:r>
        <w:rPr>
          <w:rFonts w:ascii="Times New Roman" w:hAnsi="Times New Roman" w:eastAsia="Times New Roman" w:cs="Times New Roman"/>
        </w:rPr>
        <w:t>DN100</w:t>
      </w:r>
      <w:r>
        <w:rPr>
          <w:rFonts w:ascii="宋体" w:hAnsi="宋体" w:eastAsia="宋体" w:cs="宋体"/>
        </w:rPr>
        <w:t>管网更快，且能够</w:t>
      </w:r>
      <w:r>
        <w:rPr>
          <w:rFonts w:ascii="宋体" w:hAnsi="宋体" w:eastAsia="宋体" w:cs="宋体"/>
          <w:spacing w:val="-2"/>
        </w:rPr>
        <w:t>更快达到压力稳定状态，较</w:t>
      </w:r>
      <w:r>
        <w:rPr>
          <w:rFonts w:ascii="Times New Roman" w:hAnsi="Times New Roman" w:eastAsia="Times New Roman" w:cs="Times New Roman"/>
          <w:spacing w:val="-2"/>
        </w:rPr>
        <w:t>DN65</w:t>
      </w:r>
      <w:r>
        <w:rPr>
          <w:rFonts w:ascii="宋体" w:hAnsi="宋体" w:eastAsia="宋体" w:cs="宋体"/>
          <w:spacing w:val="-2"/>
        </w:rPr>
        <w:t>、</w:t>
      </w:r>
      <w:r>
        <w:rPr>
          <w:rFonts w:ascii="Times New Roman" w:hAnsi="Times New Roman" w:eastAsia="Times New Roman" w:cs="Times New Roman"/>
          <w:spacing w:val="-2"/>
        </w:rPr>
        <w:t>DN50</w:t>
      </w:r>
      <w:r>
        <w:rPr>
          <w:rFonts w:ascii="宋体" w:hAnsi="宋体" w:eastAsia="宋体" w:cs="宋体"/>
          <w:spacing w:val="-3"/>
        </w:rPr>
        <w:t>管网压力损失小。</w:t>
      </w:r>
    </w:p>
    <w:p>
      <w:pPr>
        <w:spacing w:before="59" w:line="261" w:lineRule="auto"/>
        <w:ind w:right="75"/>
        <w:rPr>
          <w:rFonts w:ascii="宋体" w:hAnsi="宋体" w:eastAsia="宋体" w:cs="宋体"/>
          <w:sz w:val="21"/>
          <w:szCs w:val="21"/>
        </w:rPr>
      </w:pPr>
      <w:r>
        <w:rPr>
          <w:rFonts w:ascii="Times New Roman" w:hAnsi="Times New Roman" w:eastAsia="Times New Roman" w:cs="Times New Roman"/>
          <w:b/>
          <w:bCs/>
          <w:sz w:val="21"/>
          <w:szCs w:val="21"/>
        </w:rPr>
        <w:t>5.5.5</w:t>
      </w:r>
      <w:r>
        <w:rPr>
          <w:rFonts w:ascii="宋体" w:hAnsi="宋体" w:eastAsia="宋体" w:cs="宋体"/>
          <w:sz w:val="21"/>
          <w:szCs w:val="21"/>
        </w:rPr>
        <w:t>从已有测试数据看，消防车供水单车单泵可达160</w:t>
      </w:r>
      <w:r>
        <w:rPr>
          <w:rFonts w:ascii="Times New Roman" w:hAnsi="Times New Roman" w:eastAsia="Times New Roman" w:cs="Times New Roman"/>
          <w:sz w:val="21"/>
          <w:szCs w:val="21"/>
        </w:rPr>
        <w:t>m</w:t>
      </w:r>
      <w:r>
        <w:rPr>
          <w:rFonts w:ascii="宋体" w:hAnsi="宋体" w:eastAsia="宋体" w:cs="宋体"/>
          <w:sz w:val="21"/>
          <w:szCs w:val="21"/>
        </w:rPr>
        <w:t>(极</w:t>
      </w:r>
      <w:r>
        <w:rPr>
          <w:rFonts w:ascii="宋体" w:hAnsi="宋体" w:eastAsia="宋体" w:cs="宋体"/>
          <w:spacing w:val="3"/>
          <w:sz w:val="21"/>
          <w:szCs w:val="21"/>
        </w:rPr>
        <w:t>限测试),两车耦合供水可达200</w:t>
      </w:r>
      <w:r>
        <w:rPr>
          <w:rFonts w:ascii="Times New Roman" w:hAnsi="Times New Roman" w:eastAsia="Times New Roman" w:cs="Times New Roman"/>
          <w:spacing w:val="3"/>
          <w:sz w:val="21"/>
          <w:szCs w:val="21"/>
        </w:rPr>
        <w:t>m</w:t>
      </w:r>
      <w:r>
        <w:rPr>
          <w:rFonts w:ascii="宋体" w:hAnsi="宋体" w:eastAsia="宋体" w:cs="宋体"/>
          <w:spacing w:val="3"/>
          <w:sz w:val="21"/>
          <w:szCs w:val="21"/>
        </w:rPr>
        <w:t>(极限测试),管材及附件等宜</w:t>
      </w:r>
      <w:r>
        <w:rPr>
          <w:rFonts w:ascii="宋体" w:hAnsi="宋体" w:eastAsia="宋体" w:cs="宋体"/>
          <w:spacing w:val="-2"/>
          <w:sz w:val="21"/>
          <w:szCs w:val="21"/>
        </w:rPr>
        <w:t>按照公称压力2.50</w:t>
      </w:r>
      <w:r>
        <w:rPr>
          <w:rFonts w:ascii="Times New Roman" w:hAnsi="Times New Roman" w:eastAsia="Times New Roman" w:cs="Times New Roman"/>
          <w:spacing w:val="-2"/>
          <w:sz w:val="21"/>
          <w:szCs w:val="21"/>
        </w:rPr>
        <w:t>MPa</w:t>
      </w:r>
      <w:r>
        <w:rPr>
          <w:rFonts w:ascii="宋体" w:hAnsi="宋体" w:eastAsia="宋体" w:cs="宋体"/>
          <w:spacing w:val="-2"/>
          <w:sz w:val="21"/>
          <w:szCs w:val="21"/>
        </w:rPr>
        <w:t>配置。</w:t>
      </w:r>
    </w:p>
    <w:p>
      <w:pPr>
        <w:pStyle w:val="2"/>
        <w:spacing w:line="306" w:lineRule="auto"/>
      </w:pPr>
    </w:p>
    <w:p>
      <w:pPr>
        <w:spacing w:before="68" w:line="222" w:lineRule="auto"/>
        <w:ind w:left="2152"/>
        <w:rPr>
          <w:rFonts w:ascii="黑体" w:hAnsi="黑体" w:eastAsia="黑体" w:cs="黑体"/>
          <w:sz w:val="21"/>
          <w:szCs w:val="21"/>
        </w:rPr>
      </w:pPr>
      <w:r>
        <w:rPr>
          <w:rFonts w:ascii="宋体" w:hAnsi="宋体" w:eastAsia="宋体" w:cs="宋体"/>
          <w:b/>
          <w:bCs/>
          <w:spacing w:val="-5"/>
          <w:sz w:val="21"/>
          <w:szCs w:val="21"/>
        </w:rPr>
        <w:t>5.6</w:t>
      </w:r>
      <w:r>
        <w:rPr>
          <w:rFonts w:ascii="黑体" w:hAnsi="黑体" w:eastAsia="黑体" w:cs="黑体"/>
          <w:b/>
          <w:bCs/>
          <w:spacing w:val="-5"/>
          <w:sz w:val="21"/>
          <w:szCs w:val="21"/>
        </w:rPr>
        <w:t>控制与操作</w:t>
      </w:r>
    </w:p>
    <w:p>
      <w:pPr>
        <w:pStyle w:val="2"/>
        <w:spacing w:line="363" w:lineRule="auto"/>
      </w:pPr>
    </w:p>
    <w:p>
      <w:pPr>
        <w:spacing w:before="61" w:line="188" w:lineRule="auto"/>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5.6.1</w:t>
      </w:r>
    </w:p>
    <w:p>
      <w:pPr>
        <w:spacing w:before="94" w:line="277" w:lineRule="auto"/>
        <w:ind w:right="74" w:firstLine="429"/>
        <w:rPr>
          <w:rFonts w:ascii="宋体" w:hAnsi="宋体" w:eastAsia="宋体" w:cs="宋体"/>
          <w:sz w:val="21"/>
          <w:szCs w:val="21"/>
        </w:rPr>
      </w:pPr>
      <w:r>
        <w:rPr>
          <w:rFonts w:ascii="宋体" w:hAnsi="宋体" w:eastAsia="宋体" w:cs="宋体"/>
          <w:spacing w:val="15"/>
          <w:sz w:val="21"/>
          <w:szCs w:val="21"/>
        </w:rPr>
        <w:t>第1款高位消防水箱上的流量开关应能</w:t>
      </w:r>
      <w:r>
        <w:rPr>
          <w:rFonts w:ascii="宋体" w:hAnsi="宋体" w:eastAsia="宋体" w:cs="宋体"/>
          <w:spacing w:val="14"/>
          <w:sz w:val="21"/>
          <w:szCs w:val="21"/>
        </w:rPr>
        <w:t>在管道流速为</w:t>
      </w:r>
      <w:r>
        <w:rPr>
          <w:rFonts w:ascii="Times New Roman" w:hAnsi="Times New Roman" w:eastAsia="Times New Roman" w:cs="Times New Roman"/>
          <w:spacing w:val="5"/>
          <w:sz w:val="21"/>
          <w:szCs w:val="21"/>
        </w:rPr>
        <w:t>0.10m/s</w:t>
      </w:r>
      <w:r>
        <w:rPr>
          <w:rFonts w:ascii="宋体" w:hAnsi="宋体" w:eastAsia="宋体" w:cs="宋体"/>
          <w:spacing w:val="5"/>
          <w:sz w:val="21"/>
          <w:szCs w:val="21"/>
        </w:rPr>
        <w:t>～</w:t>
      </w:r>
      <w:r>
        <w:rPr>
          <w:rFonts w:ascii="Times New Roman" w:hAnsi="Times New Roman" w:eastAsia="Times New Roman" w:cs="Times New Roman"/>
          <w:spacing w:val="5"/>
          <w:sz w:val="21"/>
          <w:szCs w:val="21"/>
        </w:rPr>
        <w:t>10.00m/s</w:t>
      </w:r>
      <w:r>
        <w:rPr>
          <w:rFonts w:ascii="宋体" w:hAnsi="宋体" w:eastAsia="宋体" w:cs="宋体"/>
          <w:spacing w:val="4"/>
          <w:sz w:val="21"/>
          <w:szCs w:val="21"/>
        </w:rPr>
        <w:t>时可靠启动；流速分辨率为0.0005</w:t>
      </w:r>
      <w:r>
        <w:rPr>
          <w:rFonts w:ascii="Times New Roman" w:hAnsi="Times New Roman" w:eastAsia="Times New Roman" w:cs="Times New Roman"/>
          <w:spacing w:val="4"/>
          <w:sz w:val="21"/>
          <w:szCs w:val="21"/>
        </w:rPr>
        <w:t>m/s;</w:t>
      </w:r>
      <w:r>
        <w:rPr>
          <w:rFonts w:ascii="宋体" w:hAnsi="宋体" w:eastAsia="宋体" w:cs="宋体"/>
          <w:spacing w:val="-1"/>
          <w:sz w:val="21"/>
          <w:szCs w:val="21"/>
        </w:rPr>
        <w:t>消防水泵出水干管上设置的压力开关宜设置备用，稳压泵不应与</w:t>
      </w:r>
      <w:r>
        <w:rPr>
          <w:rFonts w:ascii="宋体" w:hAnsi="宋体" w:eastAsia="宋体" w:cs="宋体"/>
          <w:sz w:val="21"/>
          <w:szCs w:val="21"/>
        </w:rPr>
        <w:t>消防水泵共用一组压力开关，压力开关的精度为0.5</w:t>
      </w:r>
      <w:r>
        <w:rPr>
          <w:rFonts w:ascii="宋体" w:hAnsi="宋体" w:eastAsia="宋体" w:cs="宋体"/>
          <w:spacing w:val="-1"/>
          <w:sz w:val="21"/>
          <w:szCs w:val="21"/>
        </w:rPr>
        <w:t>0级。</w:t>
      </w:r>
    </w:p>
    <w:p>
      <w:pPr>
        <w:spacing w:before="2" w:line="292" w:lineRule="auto"/>
        <w:ind w:right="73" w:firstLine="429"/>
        <w:jc w:val="both"/>
        <w:rPr>
          <w:rFonts w:ascii="宋体" w:hAnsi="宋体" w:eastAsia="宋体" w:cs="宋体"/>
          <w:sz w:val="18"/>
          <w:szCs w:val="18"/>
        </w:rPr>
      </w:pPr>
      <w:r>
        <w:rPr>
          <w:rFonts w:ascii="宋体" w:hAnsi="宋体" w:eastAsia="宋体" w:cs="宋体"/>
          <w:spacing w:val="-1"/>
          <w:sz w:val="21"/>
          <w:szCs w:val="21"/>
        </w:rPr>
        <w:t>流量开关、报警阀组的压力开关及水泵出水干管上的压力开关的触发信号应直接启动消防水泵，而非通过联动控制器联动启</w:t>
      </w:r>
      <w:r>
        <w:rPr>
          <w:rFonts w:ascii="宋体" w:hAnsi="宋体" w:eastAsia="宋体" w:cs="宋体"/>
          <w:spacing w:val="20"/>
          <w:sz w:val="18"/>
          <w:szCs w:val="18"/>
        </w:rPr>
        <w:t>动水泵。</w:t>
      </w:r>
    </w:p>
    <w:p>
      <w:pPr>
        <w:spacing w:before="1" w:line="273" w:lineRule="auto"/>
        <w:ind w:firstLine="429"/>
        <w:jc w:val="both"/>
        <w:rPr>
          <w:rFonts w:ascii="宋体" w:hAnsi="宋体" w:eastAsia="宋体" w:cs="宋体"/>
          <w:sz w:val="21"/>
          <w:szCs w:val="21"/>
        </w:rPr>
      </w:pPr>
      <w:r>
        <w:rPr>
          <w:rFonts w:ascii="宋体" w:hAnsi="宋体" w:eastAsia="宋体" w:cs="宋体"/>
          <w:spacing w:val="2"/>
          <w:sz w:val="21"/>
          <w:szCs w:val="21"/>
        </w:rPr>
        <w:t>第2款消防给水系统启泵信号引入流量开关和</w:t>
      </w:r>
      <w:r>
        <w:rPr>
          <w:rFonts w:ascii="宋体" w:hAnsi="宋体" w:eastAsia="宋体" w:cs="宋体"/>
          <w:spacing w:val="1"/>
          <w:sz w:val="21"/>
          <w:szCs w:val="21"/>
        </w:rPr>
        <w:t>压力开关，</w:t>
      </w:r>
      <w:r>
        <w:rPr>
          <w:rFonts w:ascii="宋体" w:hAnsi="宋体" w:eastAsia="宋体" w:cs="宋体"/>
          <w:spacing w:val="-1"/>
          <w:sz w:val="21"/>
          <w:szCs w:val="21"/>
        </w:rPr>
        <w:t>其目的是保证系统启动的安全可靠性。流量开关的取值，应小于准工作状态时最不利消火栓的出流量，同时需大于系统管网泄漏</w:t>
      </w:r>
      <w:r>
        <w:rPr>
          <w:rFonts w:ascii="宋体" w:hAnsi="宋体" w:eastAsia="宋体" w:cs="宋体"/>
          <w:spacing w:val="7"/>
          <w:sz w:val="21"/>
          <w:szCs w:val="21"/>
        </w:rPr>
        <w:t>量。其设定值可结合设置点在现场经调试后确定。当系统设稳</w:t>
      </w:r>
      <w:r>
        <w:rPr>
          <w:rFonts w:ascii="宋体" w:hAnsi="宋体" w:eastAsia="宋体" w:cs="宋体"/>
          <w:spacing w:val="-2"/>
          <w:sz w:val="21"/>
          <w:szCs w:val="21"/>
        </w:rPr>
        <w:t>压装置时，流量开关的自动启动值宜取3.50</w:t>
      </w:r>
      <w:r>
        <w:rPr>
          <w:rFonts w:ascii="Times New Roman" w:hAnsi="Times New Roman" w:eastAsia="Times New Roman" w:cs="Times New Roman"/>
          <w:spacing w:val="-2"/>
          <w:sz w:val="21"/>
          <w:szCs w:val="21"/>
        </w:rPr>
        <w:t>L/s</w:t>
      </w:r>
      <w:r>
        <w:rPr>
          <w:rFonts w:ascii="宋体" w:hAnsi="宋体" w:eastAsia="宋体" w:cs="宋体"/>
          <w:spacing w:val="-2"/>
          <w:sz w:val="21"/>
          <w:szCs w:val="21"/>
        </w:rPr>
        <w:t>。室外消防给水</w:t>
      </w:r>
      <w:r>
        <w:rPr>
          <w:rFonts w:ascii="宋体" w:hAnsi="宋体" w:eastAsia="宋体" w:cs="宋体"/>
          <w:spacing w:val="-1"/>
          <w:sz w:val="21"/>
          <w:szCs w:val="21"/>
        </w:rPr>
        <w:t>系统，当由高位消防水箱重力稳压时，高位消防水箱出水管上的</w:t>
      </w:r>
    </w:p>
    <w:p>
      <w:pPr>
        <w:spacing w:line="273" w:lineRule="auto"/>
        <w:rPr>
          <w:rFonts w:ascii="宋体" w:hAnsi="宋体" w:eastAsia="宋体" w:cs="宋体"/>
          <w:sz w:val="21"/>
          <w:szCs w:val="21"/>
        </w:rPr>
        <w:sectPr>
          <w:footerReference r:id="rId101" w:type="default"/>
          <w:pgSz w:w="8280" w:h="11850"/>
          <w:pgMar w:top="400" w:right="1145" w:bottom="1260" w:left="1179" w:header="0" w:footer="987" w:gutter="0"/>
          <w:cols w:space="720" w:num="1"/>
        </w:sectPr>
      </w:pPr>
    </w:p>
    <w:p>
      <w:pPr>
        <w:pStyle w:val="2"/>
        <w:spacing w:line="288" w:lineRule="auto"/>
      </w:pPr>
    </w:p>
    <w:p>
      <w:pPr>
        <w:pStyle w:val="2"/>
        <w:spacing w:line="289" w:lineRule="auto"/>
      </w:pPr>
    </w:p>
    <w:p>
      <w:pPr>
        <w:pStyle w:val="2"/>
        <w:spacing w:line="289" w:lineRule="auto"/>
      </w:pPr>
    </w:p>
    <w:p>
      <w:pPr>
        <w:spacing w:before="68" w:line="273" w:lineRule="auto"/>
        <w:ind w:right="13"/>
        <w:jc w:val="both"/>
        <w:rPr>
          <w:rFonts w:ascii="宋体" w:hAnsi="宋体" w:eastAsia="宋体" w:cs="宋体"/>
          <w:sz w:val="21"/>
          <w:szCs w:val="21"/>
        </w:rPr>
      </w:pPr>
      <w:bookmarkStart w:id="92" w:name="bookmark142"/>
      <w:bookmarkEnd w:id="92"/>
      <w:bookmarkStart w:id="93" w:name="bookmark118"/>
      <w:bookmarkEnd w:id="93"/>
      <w:bookmarkStart w:id="94" w:name="bookmark138"/>
      <w:bookmarkEnd w:id="94"/>
      <w:bookmarkStart w:id="95" w:name="bookmark139"/>
      <w:bookmarkEnd w:id="95"/>
      <w:r>
        <w:rPr>
          <w:rFonts w:ascii="宋体" w:hAnsi="宋体" w:eastAsia="宋体" w:cs="宋体"/>
          <w:spacing w:val="3"/>
          <w:sz w:val="21"/>
          <w:szCs w:val="21"/>
        </w:rPr>
        <w:t>流量开关自动启泵流量值宜取5L/s。消火栓消防系统若采用仅</w:t>
      </w:r>
      <w:r>
        <w:rPr>
          <w:rFonts w:ascii="宋体" w:hAnsi="宋体" w:eastAsia="宋体" w:cs="宋体"/>
          <w:spacing w:val="-2"/>
          <w:sz w:val="21"/>
          <w:szCs w:val="21"/>
        </w:rPr>
        <w:t>设高位消防水箱直接稳压，消防泵启泵压力设定值取</w:t>
      </w:r>
      <w:r>
        <w:rPr>
          <w:rFonts w:ascii="宋体" w:hAnsi="宋体" w:eastAsia="宋体" w:cs="宋体"/>
          <w:spacing w:val="-3"/>
          <w:sz w:val="21"/>
          <w:szCs w:val="21"/>
        </w:rPr>
        <w:t>决于高位消</w:t>
      </w:r>
      <w:r>
        <w:rPr>
          <w:rFonts w:ascii="宋体" w:hAnsi="宋体" w:eastAsia="宋体" w:cs="宋体"/>
          <w:sz w:val="21"/>
          <w:szCs w:val="21"/>
        </w:rPr>
        <w:t>防水箱水位降变化，一般高位消防水箱有效水深为2m～3m,压</w:t>
      </w:r>
      <w:r>
        <w:rPr>
          <w:rFonts w:ascii="宋体" w:hAnsi="宋体" w:eastAsia="宋体" w:cs="宋体"/>
          <w:spacing w:val="-3"/>
          <w:sz w:val="21"/>
          <w:szCs w:val="21"/>
        </w:rPr>
        <w:t>力开关的灵敏度不足以使其动作；若取消压力开关，则系统启动</w:t>
      </w:r>
      <w:r>
        <w:rPr>
          <w:rFonts w:ascii="宋体" w:hAnsi="宋体" w:eastAsia="宋体" w:cs="宋体"/>
          <w:spacing w:val="-2"/>
          <w:sz w:val="21"/>
          <w:szCs w:val="21"/>
        </w:rPr>
        <w:t>的安全可靠性下降，故消火栓消防给水系统宜采用</w:t>
      </w:r>
      <w:r>
        <w:rPr>
          <w:rFonts w:ascii="宋体" w:hAnsi="宋体" w:eastAsia="宋体" w:cs="宋体"/>
          <w:spacing w:val="-3"/>
          <w:sz w:val="21"/>
          <w:szCs w:val="21"/>
        </w:rPr>
        <w:t>稳压泵维持系</w:t>
      </w:r>
      <w:r>
        <w:rPr>
          <w:rFonts w:ascii="宋体" w:hAnsi="宋体" w:eastAsia="宋体" w:cs="宋体"/>
          <w:spacing w:val="-5"/>
          <w:sz w:val="21"/>
          <w:szCs w:val="21"/>
        </w:rPr>
        <w:t>统的充水和压力。</w:t>
      </w:r>
    </w:p>
    <w:p>
      <w:pPr>
        <w:spacing w:before="24" w:line="274" w:lineRule="auto"/>
        <w:ind w:right="24" w:firstLine="410"/>
        <w:jc w:val="both"/>
        <w:rPr>
          <w:rFonts w:ascii="宋体" w:hAnsi="宋体" w:eastAsia="宋体" w:cs="宋体"/>
          <w:sz w:val="21"/>
          <w:szCs w:val="21"/>
        </w:rPr>
      </w:pPr>
      <w:r>
        <w:rPr>
          <w:rFonts w:ascii="宋体" w:hAnsi="宋体" w:eastAsia="宋体" w:cs="宋体"/>
          <w:spacing w:val="-3"/>
          <w:sz w:val="21"/>
          <w:szCs w:val="21"/>
        </w:rPr>
        <w:t>第3款高位消防水池高压给水系统，当屋顶</w:t>
      </w:r>
      <w:r>
        <w:rPr>
          <w:rFonts w:ascii="宋体" w:hAnsi="宋体" w:eastAsia="宋体" w:cs="宋体"/>
          <w:spacing w:val="-4"/>
          <w:sz w:val="21"/>
          <w:szCs w:val="21"/>
        </w:rPr>
        <w:t>高位消防水池</w:t>
      </w:r>
      <w:r>
        <w:rPr>
          <w:rFonts w:ascii="宋体" w:hAnsi="宋体" w:eastAsia="宋体" w:cs="宋体"/>
          <w:spacing w:val="-3"/>
          <w:sz w:val="21"/>
          <w:szCs w:val="21"/>
        </w:rPr>
        <w:t>水位降低至设计低水位(启泵水位)时，转输水泵作为消防泵，直接联动启动各级转输水泵。</w:t>
      </w:r>
    </w:p>
    <w:p>
      <w:pPr>
        <w:spacing w:before="7" w:line="273" w:lineRule="auto"/>
        <w:ind w:right="9" w:firstLine="420"/>
        <w:jc w:val="both"/>
        <w:rPr>
          <w:rFonts w:ascii="宋体" w:hAnsi="宋体" w:eastAsia="宋体" w:cs="宋体"/>
          <w:sz w:val="21"/>
          <w:szCs w:val="21"/>
        </w:rPr>
      </w:pPr>
      <w:r>
        <w:rPr>
          <w:rFonts w:ascii="宋体" w:hAnsi="宋体" w:eastAsia="宋体" w:cs="宋体"/>
          <w:spacing w:val="6"/>
          <w:sz w:val="21"/>
          <w:szCs w:val="21"/>
        </w:rPr>
        <w:t>第5款采用消防泵直接串联消防给水系统，低区消</w:t>
      </w:r>
      <w:r>
        <w:rPr>
          <w:rFonts w:ascii="宋体" w:hAnsi="宋体" w:eastAsia="宋体" w:cs="宋体"/>
          <w:spacing w:val="5"/>
          <w:sz w:val="21"/>
          <w:szCs w:val="21"/>
        </w:rPr>
        <w:t>防泵由其对应区域的消防水泵出水压力开关或流量开关的任一信号动</w:t>
      </w:r>
      <w:r>
        <w:rPr>
          <w:rFonts w:ascii="宋体" w:hAnsi="宋体" w:eastAsia="宋体" w:cs="宋体"/>
          <w:spacing w:val="-3"/>
          <w:sz w:val="21"/>
          <w:szCs w:val="21"/>
        </w:rPr>
        <w:t>作后直接启动；高区直接串联供水系统中，高区压力开关或流量</w:t>
      </w:r>
      <w:r>
        <w:rPr>
          <w:rFonts w:ascii="宋体" w:hAnsi="宋体" w:eastAsia="宋体" w:cs="宋体"/>
          <w:spacing w:val="-2"/>
          <w:sz w:val="21"/>
          <w:szCs w:val="21"/>
        </w:rPr>
        <w:t>开关的任一信号动作后，先启动低区消防泵，延时不大于20s后</w:t>
      </w:r>
      <w:r>
        <w:rPr>
          <w:rFonts w:ascii="宋体" w:hAnsi="宋体" w:eastAsia="宋体" w:cs="宋体"/>
          <w:spacing w:val="-5"/>
          <w:sz w:val="21"/>
          <w:szCs w:val="21"/>
        </w:rPr>
        <w:t>启动高区消防泵。</w:t>
      </w:r>
    </w:p>
    <w:p>
      <w:pPr>
        <w:spacing w:before="17" w:line="262" w:lineRule="auto"/>
        <w:rPr>
          <w:rFonts w:ascii="宋体" w:hAnsi="宋体" w:eastAsia="宋体" w:cs="宋体"/>
          <w:sz w:val="21"/>
          <w:szCs w:val="21"/>
        </w:rPr>
      </w:pPr>
      <w:r>
        <w:rPr>
          <w:rFonts w:ascii="宋体" w:hAnsi="宋体" w:eastAsia="宋体" w:cs="宋体"/>
          <w:spacing w:val="2"/>
          <w:sz w:val="21"/>
          <w:szCs w:val="21"/>
        </w:rPr>
        <w:t>5.6.3设有稳压泵的临时高压给水系统，首先确定系统准工作</w:t>
      </w:r>
      <w:r>
        <w:rPr>
          <w:rFonts w:ascii="宋体" w:hAnsi="宋体" w:eastAsia="宋体" w:cs="宋体"/>
          <w:spacing w:val="-3"/>
          <w:sz w:val="21"/>
          <w:szCs w:val="21"/>
        </w:rPr>
        <w:t>状态时的压力，这个压力值是靠稳压泵的压力来保持的。消防水</w:t>
      </w:r>
      <w:r>
        <w:rPr>
          <w:rFonts w:ascii="宋体" w:hAnsi="宋体" w:eastAsia="宋体" w:cs="宋体"/>
          <w:spacing w:val="5"/>
          <w:sz w:val="21"/>
          <w:szCs w:val="21"/>
        </w:rPr>
        <w:t>泵启泵压力设置点处的压力设定值，应小于系统自动启泵压力</w:t>
      </w:r>
      <w:r>
        <w:rPr>
          <w:rFonts w:ascii="宋体" w:hAnsi="宋体" w:eastAsia="宋体" w:cs="宋体"/>
          <w:spacing w:val="-7"/>
          <w:sz w:val="21"/>
          <w:szCs w:val="21"/>
        </w:rPr>
        <w:t>值，即稳压泵启泵压力，提出的压差0.05</w:t>
      </w:r>
      <w:r>
        <w:rPr>
          <w:rFonts w:ascii="Times New Roman" w:hAnsi="Times New Roman" w:eastAsia="Times New Roman" w:cs="Times New Roman"/>
          <w:spacing w:val="-7"/>
          <w:sz w:val="21"/>
          <w:szCs w:val="21"/>
        </w:rPr>
        <w:t>MPa</w:t>
      </w:r>
      <w:r>
        <w:rPr>
          <w:rFonts w:ascii="宋体" w:hAnsi="宋体" w:eastAsia="宋体" w:cs="宋体"/>
          <w:spacing w:val="-7"/>
          <w:sz w:val="21"/>
          <w:szCs w:val="21"/>
        </w:rPr>
        <w:t>是最低要求，据实</w:t>
      </w:r>
      <w:r>
        <w:rPr>
          <w:rFonts w:ascii="宋体" w:hAnsi="宋体" w:eastAsia="宋体" w:cs="宋体"/>
          <w:spacing w:val="-4"/>
          <w:sz w:val="21"/>
          <w:szCs w:val="21"/>
        </w:rPr>
        <w:t>际调试经验，一般可取0.07</w:t>
      </w:r>
      <w:r>
        <w:rPr>
          <w:rFonts w:ascii="Times New Roman" w:hAnsi="Times New Roman" w:eastAsia="Times New Roman" w:cs="Times New Roman"/>
          <w:spacing w:val="-4"/>
          <w:sz w:val="21"/>
          <w:szCs w:val="21"/>
        </w:rPr>
        <w:t>MPa</w:t>
      </w:r>
      <w:r>
        <w:rPr>
          <w:rFonts w:ascii="宋体" w:hAnsi="宋体" w:eastAsia="宋体" w:cs="宋体"/>
          <w:spacing w:val="-4"/>
          <w:sz w:val="21"/>
          <w:szCs w:val="21"/>
        </w:rPr>
        <w:t>～</w:t>
      </w:r>
      <w:r>
        <w:rPr>
          <w:rFonts w:ascii="Times New Roman" w:hAnsi="Times New Roman" w:eastAsia="Times New Roman" w:cs="Times New Roman"/>
          <w:spacing w:val="-4"/>
          <w:sz w:val="21"/>
          <w:szCs w:val="21"/>
        </w:rPr>
        <w:t>0.10MPa</w:t>
      </w:r>
      <w:r>
        <w:rPr>
          <w:rFonts w:ascii="宋体" w:hAnsi="宋体" w:eastAsia="宋体" w:cs="宋体"/>
          <w:spacing w:val="-4"/>
          <w:sz w:val="21"/>
          <w:szCs w:val="21"/>
        </w:rPr>
        <w:t>压差。</w:t>
      </w:r>
    </w:p>
    <w:p>
      <w:pPr>
        <w:spacing w:before="79" w:line="259" w:lineRule="auto"/>
        <w:ind w:right="6"/>
        <w:rPr>
          <w:rFonts w:ascii="宋体" w:hAnsi="宋体" w:eastAsia="宋体" w:cs="宋体"/>
          <w:sz w:val="21"/>
          <w:szCs w:val="21"/>
        </w:rPr>
      </w:pPr>
      <w:r>
        <w:rPr>
          <w:rFonts w:ascii="宋体" w:hAnsi="宋体" w:eastAsia="宋体" w:cs="宋体"/>
          <w:spacing w:val="-5"/>
          <w:sz w:val="21"/>
          <w:szCs w:val="21"/>
        </w:rPr>
        <w:t>5.6.6一般情况下，消火栓的水带打开出水，消火栓系统出口干</w:t>
      </w:r>
      <w:r>
        <w:rPr>
          <w:rFonts w:ascii="宋体" w:hAnsi="宋体" w:eastAsia="宋体" w:cs="宋体"/>
          <w:spacing w:val="-2"/>
          <w:sz w:val="21"/>
          <w:szCs w:val="21"/>
        </w:rPr>
        <w:t>管的压力开关和高位消防水箱的流量开关动作，即可</w:t>
      </w:r>
      <w:r>
        <w:rPr>
          <w:rFonts w:ascii="宋体" w:hAnsi="宋体" w:eastAsia="宋体" w:cs="宋体"/>
          <w:spacing w:val="-3"/>
          <w:sz w:val="21"/>
          <w:szCs w:val="21"/>
        </w:rPr>
        <w:t>直接启动消</w:t>
      </w:r>
      <w:r>
        <w:rPr>
          <w:rFonts w:ascii="宋体" w:hAnsi="宋体" w:eastAsia="宋体" w:cs="宋体"/>
          <w:spacing w:val="-2"/>
          <w:sz w:val="21"/>
          <w:szCs w:val="21"/>
        </w:rPr>
        <w:t>火栓泵，故当建筑达不到火灾报警系统设置的条件</w:t>
      </w:r>
      <w:r>
        <w:rPr>
          <w:rFonts w:ascii="宋体" w:hAnsi="宋体" w:eastAsia="宋体" w:cs="宋体"/>
          <w:spacing w:val="-3"/>
          <w:sz w:val="21"/>
          <w:szCs w:val="21"/>
        </w:rPr>
        <w:t>无火灾报警系</w:t>
      </w:r>
      <w:r>
        <w:rPr>
          <w:rFonts w:ascii="宋体" w:hAnsi="宋体" w:eastAsia="宋体" w:cs="宋体"/>
          <w:spacing w:val="-9"/>
          <w:sz w:val="21"/>
          <w:szCs w:val="21"/>
        </w:rPr>
        <w:t>统时，消火栓箱可不设置消火栓按钮。</w:t>
      </w:r>
    </w:p>
    <w:p>
      <w:pPr>
        <w:pStyle w:val="2"/>
        <w:spacing w:before="44" w:line="268" w:lineRule="auto"/>
        <w:ind w:right="4"/>
        <w:rPr>
          <w:rFonts w:ascii="宋体" w:hAnsi="宋体" w:eastAsia="宋体" w:cs="宋体"/>
        </w:rPr>
      </w:pPr>
      <w:r>
        <w:rPr>
          <w:spacing w:val="3"/>
        </w:rPr>
        <w:t>5.6.7</w:t>
      </w:r>
      <w:r>
        <w:rPr>
          <w:rFonts w:ascii="宋体" w:hAnsi="宋体" w:eastAsia="宋体" w:cs="宋体"/>
          <w:spacing w:val="3"/>
        </w:rPr>
        <w:t>根据现行上海市工程建设规</w:t>
      </w:r>
      <w:r>
        <w:rPr>
          <w:rFonts w:ascii="宋体" w:hAnsi="宋体" w:eastAsia="宋体" w:cs="宋体"/>
          <w:spacing w:val="2"/>
        </w:rPr>
        <w:t>范《民用建筑电气防火设计</w:t>
      </w:r>
      <w:r>
        <w:rPr>
          <w:rFonts w:ascii="宋体" w:hAnsi="宋体" w:eastAsia="宋体" w:cs="宋体"/>
          <w:spacing w:val="3"/>
        </w:rPr>
        <w:t>标准》</w:t>
      </w:r>
      <w:r>
        <w:rPr>
          <w:rFonts w:ascii="宋体" w:hAnsi="宋体" w:eastAsia="宋体" w:cs="宋体"/>
        </w:rPr>
        <w:t>DG</w:t>
      </w:r>
      <w:r>
        <w:rPr>
          <w:rFonts w:ascii="宋体" w:hAnsi="宋体" w:eastAsia="宋体" w:cs="宋体"/>
          <w:spacing w:val="3"/>
        </w:rPr>
        <w:t>/</w:t>
      </w:r>
      <w:r>
        <w:rPr>
          <w:rFonts w:ascii="宋体" w:hAnsi="宋体" w:eastAsia="宋体" w:cs="宋体"/>
        </w:rPr>
        <w:t>TJ</w:t>
      </w:r>
      <w:r>
        <w:rPr>
          <w:rFonts w:ascii="宋体" w:hAnsi="宋体" w:eastAsia="宋体" w:cs="宋体"/>
          <w:spacing w:val="3"/>
        </w:rPr>
        <w:t>08—2048的规定，建筑高度大于250m的公共建</w:t>
      </w:r>
      <w:r>
        <w:rPr>
          <w:rFonts w:ascii="宋体" w:hAnsi="宋体" w:eastAsia="宋体" w:cs="宋体"/>
          <w:spacing w:val="4"/>
        </w:rPr>
        <w:t>筑、建筑面积大于250000</w:t>
      </w:r>
      <w:r>
        <w:rPr>
          <w:rFonts w:ascii="Times New Roman" w:hAnsi="Times New Roman" w:eastAsia="Times New Roman" w:cs="Times New Roman"/>
          <w:spacing w:val="4"/>
        </w:rPr>
        <w:t>m²</w:t>
      </w:r>
      <w:r>
        <w:rPr>
          <w:rFonts w:ascii="宋体" w:hAnsi="宋体" w:eastAsia="宋体" w:cs="宋体"/>
          <w:spacing w:val="4"/>
        </w:rPr>
        <w:t>的高层公共建筑、建筑面积大于</w:t>
      </w:r>
      <w:r>
        <w:rPr>
          <w:rFonts w:ascii="宋体" w:hAnsi="宋体" w:eastAsia="宋体" w:cs="宋体"/>
          <w:spacing w:val="-6"/>
        </w:rPr>
        <w:t>40000m²的地下或半地下商业，除应按一级负荷供电外，还应设</w:t>
      </w:r>
      <w:r>
        <w:rPr>
          <w:rFonts w:ascii="宋体" w:hAnsi="宋体" w:eastAsia="宋体" w:cs="宋体"/>
          <w:spacing w:val="-2"/>
        </w:rPr>
        <w:t>置自备发电机组或第三重市电作为消防用电设备的应急电源。</w:t>
      </w:r>
    </w:p>
    <w:p>
      <w:pPr>
        <w:spacing w:line="268" w:lineRule="auto"/>
        <w:rPr>
          <w:rFonts w:ascii="宋体" w:hAnsi="宋体" w:eastAsia="宋体" w:cs="宋体"/>
        </w:rPr>
        <w:sectPr>
          <w:footerReference r:id="rId102" w:type="default"/>
          <w:pgSz w:w="8280" w:h="11850"/>
          <w:pgMar w:top="400" w:right="1225" w:bottom="1296" w:left="1219" w:header="0" w:footer="1107" w:gutter="0"/>
          <w:cols w:space="720" w:num="1"/>
        </w:sectPr>
      </w:pPr>
    </w:p>
    <w:p>
      <w:pPr>
        <w:pStyle w:val="2"/>
        <w:spacing w:line="280" w:lineRule="auto"/>
      </w:pPr>
    </w:p>
    <w:p>
      <w:pPr>
        <w:pStyle w:val="2"/>
        <w:spacing w:line="280" w:lineRule="auto"/>
      </w:pPr>
    </w:p>
    <w:p>
      <w:pPr>
        <w:pStyle w:val="2"/>
        <w:spacing w:line="280" w:lineRule="auto"/>
      </w:pPr>
    </w:p>
    <w:p>
      <w:pPr>
        <w:pStyle w:val="2"/>
        <w:spacing w:line="281" w:lineRule="auto"/>
      </w:pPr>
    </w:p>
    <w:p>
      <w:pPr>
        <w:pStyle w:val="2"/>
        <w:spacing w:line="281" w:lineRule="auto"/>
      </w:pPr>
    </w:p>
    <w:p>
      <w:pPr>
        <w:spacing w:before="94" w:line="221" w:lineRule="auto"/>
        <w:ind w:left="1624"/>
        <w:rPr>
          <w:rFonts w:ascii="黑体" w:hAnsi="黑体" w:eastAsia="黑体" w:cs="黑体"/>
          <w:sz w:val="29"/>
          <w:szCs w:val="29"/>
        </w:rPr>
      </w:pPr>
      <w:bookmarkStart w:id="96" w:name="bookmark119"/>
      <w:bookmarkEnd w:id="96"/>
      <w:bookmarkStart w:id="97" w:name="bookmark140"/>
      <w:bookmarkEnd w:id="97"/>
      <w:r>
        <w:rPr>
          <w:rFonts w:ascii="宋体" w:hAnsi="宋体" w:eastAsia="宋体" w:cs="宋体"/>
          <w:b/>
          <w:bCs/>
          <w:spacing w:val="-10"/>
          <w:sz w:val="29"/>
          <w:szCs w:val="29"/>
        </w:rPr>
        <w:t>6</w:t>
      </w:r>
      <w:r>
        <w:rPr>
          <w:rFonts w:ascii="黑体" w:hAnsi="黑体" w:eastAsia="黑体" w:cs="黑体"/>
          <w:b/>
          <w:bCs/>
          <w:spacing w:val="-10"/>
          <w:sz w:val="29"/>
          <w:szCs w:val="29"/>
        </w:rPr>
        <w:t>自动喷水灭火系统</w:t>
      </w:r>
    </w:p>
    <w:p>
      <w:pPr>
        <w:pStyle w:val="2"/>
        <w:spacing w:line="302" w:lineRule="auto"/>
      </w:pPr>
    </w:p>
    <w:p>
      <w:pPr>
        <w:pStyle w:val="2"/>
        <w:spacing w:line="302" w:lineRule="auto"/>
      </w:pPr>
    </w:p>
    <w:p>
      <w:pPr>
        <w:spacing w:before="65" w:line="220" w:lineRule="auto"/>
        <w:ind w:left="2262"/>
        <w:rPr>
          <w:rFonts w:ascii="宋体" w:hAnsi="宋体" w:eastAsia="宋体" w:cs="宋体"/>
          <w:sz w:val="20"/>
          <w:szCs w:val="20"/>
        </w:rPr>
      </w:pPr>
      <w:r>
        <w:rPr>
          <w:rFonts w:ascii="宋体" w:hAnsi="宋体" w:eastAsia="宋体" w:cs="宋体"/>
          <w:b/>
          <w:bCs/>
          <w:spacing w:val="3"/>
          <w:sz w:val="20"/>
          <w:szCs w:val="20"/>
        </w:rPr>
        <w:t>6.1一般规定</w:t>
      </w:r>
    </w:p>
    <w:p>
      <w:pPr>
        <w:pStyle w:val="2"/>
        <w:spacing w:line="326" w:lineRule="auto"/>
      </w:pPr>
    </w:p>
    <w:p>
      <w:pPr>
        <w:spacing w:before="65" w:line="293" w:lineRule="auto"/>
        <w:ind w:right="27"/>
        <w:jc w:val="both"/>
        <w:rPr>
          <w:rFonts w:ascii="宋体" w:hAnsi="宋体" w:eastAsia="宋体" w:cs="宋体"/>
          <w:sz w:val="20"/>
          <w:szCs w:val="20"/>
        </w:rPr>
      </w:pPr>
      <w:r>
        <w:rPr>
          <w:rFonts w:ascii="Times New Roman" w:hAnsi="Times New Roman" w:eastAsia="Times New Roman" w:cs="Times New Roman"/>
          <w:spacing w:val="10"/>
          <w:sz w:val="20"/>
          <w:szCs w:val="20"/>
        </w:rPr>
        <w:t>6.1.2</w:t>
      </w:r>
      <w:r>
        <w:rPr>
          <w:rFonts w:ascii="宋体" w:hAnsi="宋体" w:eastAsia="宋体" w:cs="宋体"/>
          <w:spacing w:val="10"/>
          <w:sz w:val="20"/>
          <w:szCs w:val="20"/>
        </w:rPr>
        <w:t>本标准是依据现行国家标准《自动喷水灭火系统设计规</w:t>
      </w:r>
      <w:r>
        <w:rPr>
          <w:rFonts w:ascii="宋体" w:hAnsi="宋体" w:eastAsia="宋体" w:cs="宋体"/>
          <w:spacing w:val="2"/>
          <w:sz w:val="20"/>
          <w:szCs w:val="20"/>
        </w:rPr>
        <w:t>范》</w:t>
      </w:r>
      <w:r>
        <w:rPr>
          <w:rFonts w:ascii="宋体" w:hAnsi="宋体" w:eastAsia="宋体" w:cs="宋体"/>
          <w:sz w:val="20"/>
          <w:szCs w:val="20"/>
        </w:rPr>
        <w:t>GB</w:t>
      </w:r>
      <w:r>
        <w:rPr>
          <w:rFonts w:ascii="宋体" w:hAnsi="宋体" w:eastAsia="宋体" w:cs="宋体"/>
          <w:spacing w:val="2"/>
          <w:sz w:val="20"/>
          <w:szCs w:val="20"/>
        </w:rPr>
        <w:t>50084,结合上海地区民用建筑的特点、灭火设施的完备程</w:t>
      </w:r>
      <w:r>
        <w:rPr>
          <w:rFonts w:ascii="宋体" w:hAnsi="宋体" w:eastAsia="宋体" w:cs="宋体"/>
          <w:spacing w:val="17"/>
          <w:sz w:val="20"/>
          <w:szCs w:val="20"/>
        </w:rPr>
        <w:t>度以及消防救援能力，对国家标准的细化和补充。对应高层建</w:t>
      </w:r>
      <w:r>
        <w:rPr>
          <w:rFonts w:ascii="宋体" w:hAnsi="宋体" w:eastAsia="宋体" w:cs="宋体"/>
          <w:spacing w:val="4"/>
          <w:sz w:val="20"/>
          <w:szCs w:val="20"/>
        </w:rPr>
        <w:t>筑，消防分区和减压阀设置要求与消火栓系统一致。</w:t>
      </w:r>
    </w:p>
    <w:p>
      <w:pPr>
        <w:spacing w:line="286" w:lineRule="auto"/>
        <w:ind w:firstLine="2"/>
        <w:rPr>
          <w:rFonts w:ascii="宋体" w:hAnsi="宋体" w:eastAsia="宋体" w:cs="宋体"/>
          <w:sz w:val="20"/>
          <w:szCs w:val="20"/>
        </w:rPr>
      </w:pPr>
      <w:r>
        <w:rPr>
          <w:rFonts w:ascii="宋体" w:hAnsi="宋体" w:eastAsia="宋体" w:cs="宋体"/>
          <w:b/>
          <w:bCs/>
          <w:spacing w:val="4"/>
          <w:sz w:val="20"/>
          <w:szCs w:val="20"/>
        </w:rPr>
        <w:t>6.1.3</w:t>
      </w:r>
      <w:r>
        <w:rPr>
          <w:rFonts w:ascii="宋体" w:hAnsi="宋体" w:eastAsia="宋体" w:cs="宋体"/>
          <w:spacing w:val="4"/>
          <w:sz w:val="20"/>
          <w:szCs w:val="20"/>
        </w:rPr>
        <w:t>对于科研楼，应详细了解实际开展的科研业务内容，按照</w:t>
      </w:r>
      <w:r>
        <w:rPr>
          <w:rFonts w:ascii="宋体" w:hAnsi="宋体" w:eastAsia="宋体" w:cs="宋体"/>
          <w:spacing w:val="8"/>
          <w:sz w:val="20"/>
          <w:szCs w:val="20"/>
        </w:rPr>
        <w:t>对应的火灾危险等级进一步确认。</w:t>
      </w:r>
    </w:p>
    <w:p>
      <w:pPr>
        <w:spacing w:before="3" w:line="297" w:lineRule="auto"/>
        <w:ind w:right="26" w:firstLine="429"/>
        <w:jc w:val="both"/>
        <w:rPr>
          <w:rFonts w:ascii="宋体" w:hAnsi="宋体" w:eastAsia="宋体" w:cs="宋体"/>
          <w:sz w:val="20"/>
          <w:szCs w:val="20"/>
        </w:rPr>
      </w:pPr>
      <w:r>
        <w:rPr>
          <w:rFonts w:ascii="宋体" w:hAnsi="宋体" w:eastAsia="宋体" w:cs="宋体"/>
          <w:spacing w:val="9"/>
          <w:sz w:val="20"/>
          <w:szCs w:val="20"/>
        </w:rPr>
        <w:t>按经营方式、饮食制作方式及服务特点划分，饮食建筑可分</w:t>
      </w:r>
      <w:r>
        <w:rPr>
          <w:rFonts w:ascii="宋体" w:hAnsi="宋体" w:eastAsia="宋体" w:cs="宋体"/>
          <w:spacing w:val="2"/>
          <w:sz w:val="20"/>
          <w:szCs w:val="20"/>
        </w:rPr>
        <w:t>为餐馆、快餐店、饮品店和食堂四类，单独建造的饮食建筑按照表</w:t>
      </w:r>
      <w:r>
        <w:rPr>
          <w:rFonts w:ascii="宋体" w:hAnsi="宋体" w:eastAsia="宋体" w:cs="宋体"/>
          <w:spacing w:val="5"/>
          <w:sz w:val="20"/>
          <w:szCs w:val="20"/>
        </w:rPr>
        <w:t>6.1.3规定执行。附建在旅馆、商业、办公等公共建筑中的饮食建</w:t>
      </w:r>
      <w:r>
        <w:rPr>
          <w:rFonts w:ascii="宋体" w:hAnsi="宋体" w:eastAsia="宋体" w:cs="宋体"/>
          <w:spacing w:val="8"/>
          <w:sz w:val="20"/>
          <w:szCs w:val="20"/>
        </w:rPr>
        <w:t>筑应按照主体建筑的危险等级确定。</w:t>
      </w:r>
    </w:p>
    <w:p>
      <w:pPr>
        <w:spacing w:before="1" w:line="295" w:lineRule="auto"/>
        <w:ind w:right="26" w:firstLine="429"/>
        <w:rPr>
          <w:rFonts w:ascii="宋体" w:hAnsi="宋体" w:eastAsia="宋体" w:cs="宋体"/>
          <w:sz w:val="20"/>
          <w:szCs w:val="20"/>
        </w:rPr>
      </w:pPr>
      <w:r>
        <w:rPr>
          <w:rFonts w:ascii="宋体" w:hAnsi="宋体" w:eastAsia="宋体" w:cs="宋体"/>
          <w:spacing w:val="15"/>
          <w:sz w:val="20"/>
          <w:szCs w:val="20"/>
        </w:rPr>
        <w:t>表6.1.3中的冷藏库为民用建筑内的低温/高温冷库，不包</w:t>
      </w:r>
      <w:r>
        <w:rPr>
          <w:rFonts w:ascii="宋体" w:hAnsi="宋体" w:eastAsia="宋体" w:cs="宋体"/>
          <w:spacing w:val="7"/>
          <w:sz w:val="20"/>
          <w:szCs w:val="20"/>
        </w:rPr>
        <w:t>括独立建造的冷库建筑。</w:t>
      </w:r>
    </w:p>
    <w:p>
      <w:pPr>
        <w:spacing w:line="287" w:lineRule="auto"/>
        <w:ind w:right="20" w:firstLine="429"/>
        <w:jc w:val="both"/>
        <w:rPr>
          <w:rFonts w:ascii="宋体" w:hAnsi="宋体" w:eastAsia="宋体" w:cs="宋体"/>
          <w:sz w:val="20"/>
          <w:szCs w:val="20"/>
        </w:rPr>
      </w:pPr>
      <w:r>
        <w:rPr>
          <w:rFonts w:ascii="宋体" w:hAnsi="宋体" w:eastAsia="宋体" w:cs="宋体"/>
          <w:spacing w:val="9"/>
          <w:sz w:val="20"/>
          <w:szCs w:val="20"/>
        </w:rPr>
        <w:t>超级市场(类似于麦德龙、宜家)属于民用</w:t>
      </w:r>
      <w:r>
        <w:rPr>
          <w:rFonts w:ascii="宋体" w:hAnsi="宋体" w:eastAsia="宋体" w:cs="宋体"/>
          <w:spacing w:val="8"/>
          <w:sz w:val="20"/>
          <w:szCs w:val="20"/>
        </w:rPr>
        <w:t>建筑，但是其设置自动喷水灭火系统的火灾危险等级应根据其室内净空高度、储存</w:t>
      </w:r>
      <w:r>
        <w:rPr>
          <w:rFonts w:ascii="宋体" w:hAnsi="宋体" w:eastAsia="宋体" w:cs="宋体"/>
          <w:spacing w:val="9"/>
          <w:sz w:val="20"/>
          <w:szCs w:val="20"/>
        </w:rPr>
        <w:t>方式以及储存物品的种类确定设计基本参数；最大净空高度超过</w:t>
      </w:r>
      <w:r>
        <w:rPr>
          <w:rFonts w:ascii="宋体" w:hAnsi="宋体" w:eastAsia="宋体" w:cs="宋体"/>
          <w:spacing w:val="3"/>
          <w:sz w:val="20"/>
          <w:szCs w:val="20"/>
        </w:rPr>
        <w:t>8m的情况，其储物和购物环境类似仓储超市，应根据仓储超</w:t>
      </w:r>
      <w:r>
        <w:rPr>
          <w:rFonts w:ascii="宋体" w:hAnsi="宋体" w:eastAsia="宋体" w:cs="宋体"/>
          <w:spacing w:val="2"/>
          <w:sz w:val="20"/>
          <w:szCs w:val="20"/>
        </w:rPr>
        <w:t>市的</w:t>
      </w:r>
      <w:r>
        <w:rPr>
          <w:rFonts w:ascii="宋体" w:hAnsi="宋体" w:eastAsia="宋体" w:cs="宋体"/>
          <w:spacing w:val="1"/>
          <w:sz w:val="20"/>
          <w:szCs w:val="20"/>
        </w:rPr>
        <w:t>主经营物品，按照仓库危险等级设计。</w:t>
      </w:r>
    </w:p>
    <w:p>
      <w:pPr>
        <w:spacing w:before="26" w:line="295" w:lineRule="auto"/>
        <w:ind w:right="22" w:firstLine="429"/>
        <w:rPr>
          <w:rFonts w:ascii="宋体" w:hAnsi="宋体" w:eastAsia="宋体" w:cs="宋体"/>
          <w:sz w:val="20"/>
          <w:szCs w:val="20"/>
        </w:rPr>
      </w:pPr>
      <w:r>
        <w:rPr>
          <w:rFonts w:ascii="宋体" w:hAnsi="宋体" w:eastAsia="宋体" w:cs="宋体"/>
          <w:spacing w:val="20"/>
          <w:sz w:val="20"/>
          <w:szCs w:val="20"/>
        </w:rPr>
        <w:t>民用建筑内单间使用面积不大于100</w:t>
      </w:r>
      <w:r>
        <w:rPr>
          <w:rFonts w:ascii="Times New Roman" w:hAnsi="Times New Roman" w:eastAsia="Times New Roman" w:cs="Times New Roman"/>
          <w:spacing w:val="20"/>
          <w:sz w:val="20"/>
          <w:szCs w:val="20"/>
        </w:rPr>
        <w:t>m²</w:t>
      </w:r>
      <w:r>
        <w:rPr>
          <w:rFonts w:ascii="宋体" w:hAnsi="宋体" w:eastAsia="宋体" w:cs="宋体"/>
          <w:spacing w:val="20"/>
          <w:sz w:val="20"/>
          <w:szCs w:val="20"/>
        </w:rPr>
        <w:t>的可燃物附属库</w:t>
      </w:r>
      <w:r>
        <w:rPr>
          <w:rFonts w:ascii="宋体" w:hAnsi="宋体" w:eastAsia="宋体" w:cs="宋体"/>
          <w:spacing w:val="-1"/>
          <w:sz w:val="20"/>
          <w:szCs w:val="20"/>
        </w:rPr>
        <w:t>房，属于主体建筑配套使用，按照中危险Ⅱ级设置。</w:t>
      </w:r>
    </w:p>
    <w:p>
      <w:pPr>
        <w:spacing w:before="3" w:line="281" w:lineRule="auto"/>
        <w:ind w:right="23" w:firstLine="429"/>
        <w:jc w:val="both"/>
        <w:rPr>
          <w:rFonts w:ascii="宋体" w:hAnsi="宋体" w:eastAsia="宋体" w:cs="宋体"/>
          <w:sz w:val="20"/>
          <w:szCs w:val="20"/>
        </w:rPr>
      </w:pPr>
      <w:r>
        <w:rPr>
          <w:rFonts w:ascii="宋体" w:hAnsi="宋体" w:eastAsia="宋体" w:cs="宋体"/>
          <w:spacing w:val="9"/>
          <w:sz w:val="20"/>
          <w:szCs w:val="20"/>
        </w:rPr>
        <w:t>剧本娱乐场所(密室逃脱等)、室内游乐场</w:t>
      </w:r>
      <w:r>
        <w:rPr>
          <w:rFonts w:ascii="宋体" w:hAnsi="宋体" w:eastAsia="宋体" w:cs="宋体"/>
          <w:spacing w:val="8"/>
          <w:sz w:val="20"/>
          <w:szCs w:val="20"/>
        </w:rPr>
        <w:t>、电竞技场等新业</w:t>
      </w:r>
      <w:r>
        <w:rPr>
          <w:rFonts w:ascii="宋体" w:hAnsi="宋体" w:eastAsia="宋体" w:cs="宋体"/>
          <w:spacing w:val="10"/>
          <w:sz w:val="20"/>
          <w:szCs w:val="20"/>
        </w:rPr>
        <w:t>态发展迅猛，由于为了营造效果，这些场所</w:t>
      </w:r>
      <w:r>
        <w:rPr>
          <w:rFonts w:ascii="宋体" w:hAnsi="宋体" w:eastAsia="宋体" w:cs="宋体"/>
          <w:spacing w:val="9"/>
          <w:sz w:val="20"/>
          <w:szCs w:val="20"/>
        </w:rPr>
        <w:t>通常使用可燃装修比</w:t>
      </w:r>
      <w:r>
        <w:rPr>
          <w:rFonts w:ascii="宋体" w:hAnsi="宋体" w:eastAsia="宋体" w:cs="宋体"/>
          <w:spacing w:val="-3"/>
          <w:sz w:val="20"/>
          <w:szCs w:val="20"/>
        </w:rPr>
        <w:t>较多，路线曲折，火灾时危险特性较大，列入中危险Ⅱ级。</w:t>
      </w:r>
    </w:p>
    <w:p>
      <w:pPr>
        <w:spacing w:before="1" w:line="239" w:lineRule="auto"/>
        <w:ind w:left="4769"/>
        <w:rPr>
          <w:rFonts w:hint="eastAsia" w:ascii="宋体" w:hAnsi="宋体" w:eastAsia="宋体" w:cs="宋体"/>
          <w:sz w:val="24"/>
          <w:szCs w:val="24"/>
          <w:lang w:eastAsia="zh-CN"/>
        </w:rPr>
      </w:pPr>
      <w:r>
        <w:rPr>
          <w:rFonts w:ascii="宋体" w:hAnsi="宋体" w:eastAsia="宋体" w:cs="宋体"/>
          <w:spacing w:val="-2"/>
          <w:sz w:val="24"/>
          <w:szCs w:val="24"/>
        </w:rPr>
        <w:t>—87—</w:t>
      </w:r>
    </w:p>
    <w:p>
      <w:pPr>
        <w:spacing w:line="239" w:lineRule="auto"/>
        <w:rPr>
          <w:rFonts w:ascii="宋体" w:hAnsi="宋体" w:eastAsia="宋体" w:cs="宋体"/>
          <w:sz w:val="24"/>
          <w:szCs w:val="24"/>
        </w:rPr>
        <w:sectPr>
          <w:footerReference r:id="rId103" w:type="default"/>
          <w:pgSz w:w="8280" w:h="11850"/>
          <w:pgMar w:top="400" w:right="1183" w:bottom="400" w:left="1200" w:header="0" w:footer="0" w:gutter="0"/>
          <w:cols w:space="720" w:num="1"/>
        </w:sectPr>
      </w:pPr>
    </w:p>
    <w:p>
      <w:pPr>
        <w:pStyle w:val="2"/>
        <w:spacing w:line="285" w:lineRule="auto"/>
      </w:pPr>
    </w:p>
    <w:p>
      <w:pPr>
        <w:pStyle w:val="2"/>
        <w:spacing w:line="285" w:lineRule="auto"/>
      </w:pPr>
    </w:p>
    <w:p>
      <w:pPr>
        <w:pStyle w:val="2"/>
        <w:spacing w:line="285" w:lineRule="auto"/>
      </w:pPr>
    </w:p>
    <w:p>
      <w:pPr>
        <w:spacing w:before="68" w:line="245" w:lineRule="auto"/>
        <w:ind w:right="111"/>
        <w:rPr>
          <w:rFonts w:ascii="宋体" w:hAnsi="宋体" w:eastAsia="宋体" w:cs="宋体"/>
          <w:sz w:val="21"/>
          <w:szCs w:val="21"/>
        </w:rPr>
      </w:pPr>
      <w:r>
        <w:rPr>
          <w:rFonts w:ascii="Times New Roman" w:hAnsi="Times New Roman" w:eastAsia="Times New Roman" w:cs="Times New Roman"/>
          <w:b/>
          <w:bCs/>
          <w:spacing w:val="-1"/>
          <w:sz w:val="21"/>
          <w:szCs w:val="21"/>
        </w:rPr>
        <w:t>6.1.4</w:t>
      </w:r>
      <w:r>
        <w:rPr>
          <w:rFonts w:ascii="宋体" w:hAnsi="宋体" w:eastAsia="宋体" w:cs="宋体"/>
          <w:spacing w:val="-1"/>
          <w:sz w:val="21"/>
          <w:szCs w:val="21"/>
        </w:rPr>
        <w:t>喷头的工作压力是标准喷头所需的出水压力，0.</w:t>
      </w:r>
      <w:r>
        <w:rPr>
          <w:rFonts w:ascii="宋体" w:hAnsi="宋体" w:eastAsia="宋体" w:cs="宋体"/>
          <w:spacing w:val="-2"/>
          <w:sz w:val="21"/>
          <w:szCs w:val="21"/>
        </w:rPr>
        <w:t>05</w:t>
      </w:r>
      <w:r>
        <w:rPr>
          <w:rFonts w:ascii="Times New Roman" w:hAnsi="Times New Roman" w:eastAsia="Times New Roman" w:cs="Times New Roman"/>
          <w:spacing w:val="-2"/>
          <w:sz w:val="21"/>
          <w:szCs w:val="21"/>
        </w:rPr>
        <w:t>MPa</w:t>
      </w:r>
      <w:r>
        <w:rPr>
          <w:rFonts w:ascii="宋体" w:hAnsi="宋体" w:eastAsia="宋体" w:cs="宋体"/>
          <w:spacing w:val="-3"/>
          <w:sz w:val="21"/>
          <w:szCs w:val="21"/>
        </w:rPr>
        <w:t>仅用于水箱初期供水工况的最低压力。</w:t>
      </w:r>
    </w:p>
    <w:p>
      <w:pPr>
        <w:spacing w:before="73" w:line="259" w:lineRule="auto"/>
        <w:ind w:right="72" w:firstLine="3"/>
        <w:rPr>
          <w:rFonts w:ascii="宋体" w:hAnsi="宋体" w:eastAsia="宋体" w:cs="宋体"/>
          <w:sz w:val="21"/>
          <w:szCs w:val="21"/>
        </w:rPr>
      </w:pPr>
      <w:r>
        <w:rPr>
          <w:rFonts w:ascii="宋体" w:hAnsi="宋体" w:eastAsia="宋体" w:cs="宋体"/>
          <w:b/>
          <w:bCs/>
          <w:spacing w:val="-1"/>
          <w:sz w:val="21"/>
          <w:szCs w:val="21"/>
        </w:rPr>
        <w:t>6.1.5</w:t>
      </w:r>
      <w:r>
        <w:rPr>
          <w:rFonts w:ascii="宋体" w:hAnsi="宋体" w:eastAsia="宋体" w:cs="宋体"/>
          <w:spacing w:val="-1"/>
          <w:sz w:val="21"/>
          <w:szCs w:val="21"/>
        </w:rPr>
        <w:t>在项目实际操作中，净空高度超过8</w:t>
      </w:r>
      <w:r>
        <w:rPr>
          <w:rFonts w:ascii="宋体" w:hAnsi="宋体" w:eastAsia="宋体" w:cs="宋体"/>
          <w:spacing w:val="-2"/>
          <w:sz w:val="21"/>
          <w:szCs w:val="21"/>
        </w:rPr>
        <w:t>m的场所较多，火灾</w:t>
      </w:r>
      <w:r>
        <w:rPr>
          <w:rFonts w:ascii="宋体" w:hAnsi="宋体" w:eastAsia="宋体" w:cs="宋体"/>
          <w:spacing w:val="-9"/>
          <w:sz w:val="21"/>
          <w:szCs w:val="21"/>
        </w:rPr>
        <w:t>蔓延速度快，建筑命名也各有不同，为尽可能覆盖相关功能，本条</w:t>
      </w:r>
      <w:r>
        <w:rPr>
          <w:rFonts w:ascii="宋体" w:hAnsi="宋体" w:eastAsia="宋体" w:cs="宋体"/>
          <w:spacing w:val="-1"/>
          <w:sz w:val="21"/>
          <w:szCs w:val="21"/>
        </w:rPr>
        <w:t>在国家标准基础上，根据火灾特点进行了补充，以便设</w:t>
      </w:r>
      <w:r>
        <w:rPr>
          <w:rFonts w:ascii="宋体" w:hAnsi="宋体" w:eastAsia="宋体" w:cs="宋体"/>
          <w:spacing w:val="-2"/>
          <w:sz w:val="21"/>
          <w:szCs w:val="21"/>
        </w:rPr>
        <w:t>计人员更</w:t>
      </w:r>
      <w:r>
        <w:rPr>
          <w:rFonts w:ascii="宋体" w:hAnsi="宋体" w:eastAsia="宋体" w:cs="宋体"/>
          <w:spacing w:val="-3"/>
          <w:sz w:val="21"/>
          <w:szCs w:val="21"/>
        </w:rPr>
        <w:t>好选择。</w:t>
      </w:r>
    </w:p>
    <w:p>
      <w:pPr>
        <w:spacing w:before="79" w:line="255" w:lineRule="auto"/>
        <w:ind w:right="73" w:firstLine="3"/>
        <w:rPr>
          <w:rFonts w:ascii="宋体" w:hAnsi="宋体" w:eastAsia="宋体" w:cs="宋体"/>
          <w:sz w:val="21"/>
          <w:szCs w:val="21"/>
        </w:rPr>
      </w:pPr>
      <w:r>
        <w:rPr>
          <w:rFonts w:ascii="宋体" w:hAnsi="宋体" w:eastAsia="宋体" w:cs="宋体"/>
          <w:b/>
          <w:bCs/>
          <w:spacing w:val="2"/>
          <w:sz w:val="21"/>
          <w:szCs w:val="21"/>
        </w:rPr>
        <w:t>6.1.6</w:t>
      </w:r>
      <w:r>
        <w:rPr>
          <w:rFonts w:ascii="宋体" w:hAnsi="宋体" w:eastAsia="宋体" w:cs="宋体"/>
          <w:spacing w:val="2"/>
          <w:sz w:val="21"/>
          <w:szCs w:val="21"/>
        </w:rPr>
        <w:t>当建筑物内各场所的使用功能和火灾危险性存在较大差</w:t>
      </w:r>
      <w:r>
        <w:rPr>
          <w:rFonts w:ascii="宋体" w:hAnsi="宋体" w:eastAsia="宋体" w:cs="宋体"/>
          <w:spacing w:val="-1"/>
          <w:sz w:val="21"/>
          <w:szCs w:val="21"/>
        </w:rPr>
        <w:t>异时，宜按不同保护对象或不同危险等级分别设置不</w:t>
      </w:r>
      <w:r>
        <w:rPr>
          <w:rFonts w:ascii="宋体" w:hAnsi="宋体" w:eastAsia="宋体" w:cs="宋体"/>
          <w:spacing w:val="-2"/>
          <w:sz w:val="21"/>
          <w:szCs w:val="21"/>
        </w:rPr>
        <w:t>同的自动喷</w:t>
      </w:r>
      <w:r>
        <w:rPr>
          <w:rFonts w:ascii="宋体" w:hAnsi="宋体" w:eastAsia="宋体" w:cs="宋体"/>
          <w:spacing w:val="-6"/>
          <w:sz w:val="21"/>
          <w:szCs w:val="21"/>
        </w:rPr>
        <w:t>水灭火系统，并应满足最高火灾危险等级的要求。</w:t>
      </w:r>
    </w:p>
    <w:p>
      <w:pPr>
        <w:spacing w:before="80" w:line="246" w:lineRule="auto"/>
        <w:ind w:firstLine="3"/>
        <w:rPr>
          <w:rFonts w:ascii="宋体" w:hAnsi="宋体" w:eastAsia="宋体" w:cs="宋体"/>
          <w:sz w:val="21"/>
          <w:szCs w:val="21"/>
        </w:rPr>
      </w:pPr>
      <w:r>
        <w:rPr>
          <w:rFonts w:ascii="宋体" w:hAnsi="宋体" w:eastAsia="宋体" w:cs="宋体"/>
          <w:b/>
          <w:bCs/>
          <w:spacing w:val="5"/>
          <w:sz w:val="21"/>
          <w:szCs w:val="21"/>
        </w:rPr>
        <w:t>6.1.7</w:t>
      </w:r>
      <w:r>
        <w:rPr>
          <w:rFonts w:ascii="宋体" w:hAnsi="宋体" w:eastAsia="宋体" w:cs="宋体"/>
          <w:spacing w:val="5"/>
          <w:sz w:val="21"/>
          <w:szCs w:val="21"/>
        </w:rPr>
        <w:t>自动喷水灭火系统的选择应根据使用场所的情况确</w:t>
      </w:r>
      <w:r>
        <w:rPr>
          <w:rFonts w:ascii="宋体" w:hAnsi="宋体" w:eastAsia="宋体" w:cs="宋体"/>
          <w:spacing w:val="4"/>
          <w:sz w:val="21"/>
          <w:szCs w:val="21"/>
        </w:rPr>
        <w:t>定，</w:t>
      </w:r>
      <w:r>
        <w:rPr>
          <w:rFonts w:ascii="宋体" w:hAnsi="宋体" w:eastAsia="宋体" w:cs="宋体"/>
          <w:spacing w:val="2"/>
          <w:sz w:val="21"/>
          <w:szCs w:val="21"/>
        </w:rPr>
        <w:t>其技术特性要求见表2。</w:t>
      </w:r>
    </w:p>
    <w:p>
      <w:pPr>
        <w:spacing w:before="135" w:line="221" w:lineRule="auto"/>
        <w:ind w:left="1243"/>
        <w:rPr>
          <w:rFonts w:ascii="黑体" w:hAnsi="黑体" w:eastAsia="黑体" w:cs="黑体"/>
          <w:sz w:val="21"/>
          <w:szCs w:val="21"/>
        </w:rPr>
      </w:pPr>
      <w:r>
        <w:rPr>
          <w:rFonts w:ascii="黑体" w:hAnsi="黑体" w:eastAsia="黑体" w:cs="黑体"/>
          <w:b/>
          <w:bCs/>
          <w:spacing w:val="-26"/>
          <w:sz w:val="21"/>
          <w:szCs w:val="21"/>
        </w:rPr>
        <w:t>表2自动喷水灭火系统的种类及使用场所</w:t>
      </w:r>
    </w:p>
    <w:p>
      <w:pPr>
        <w:spacing w:line="70" w:lineRule="exact"/>
      </w:pPr>
    </w:p>
    <w:tbl>
      <w:tblPr>
        <w:tblStyle w:val="5"/>
        <w:tblW w:w="583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5"/>
        <w:gridCol w:w="1258"/>
        <w:gridCol w:w="2076"/>
        <w:gridCol w:w="21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583" w:type="dxa"/>
            <w:gridSpan w:val="2"/>
            <w:vAlign w:val="top"/>
          </w:tcPr>
          <w:p>
            <w:pPr>
              <w:pStyle w:val="6"/>
              <w:spacing w:before="72" w:line="219" w:lineRule="auto"/>
              <w:ind w:left="455"/>
            </w:pPr>
            <w:r>
              <w:rPr>
                <w:spacing w:val="-2"/>
              </w:rPr>
              <w:t>系统分类</w:t>
            </w:r>
          </w:p>
        </w:tc>
        <w:tc>
          <w:tcPr>
            <w:tcW w:w="2076" w:type="dxa"/>
            <w:vAlign w:val="top"/>
          </w:tcPr>
          <w:p>
            <w:pPr>
              <w:pStyle w:val="6"/>
              <w:spacing w:before="72" w:line="220" w:lineRule="auto"/>
              <w:ind w:left="691"/>
            </w:pPr>
            <w:r>
              <w:rPr>
                <w:spacing w:val="-2"/>
              </w:rPr>
              <w:t>适用场所</w:t>
            </w:r>
          </w:p>
        </w:tc>
        <w:tc>
          <w:tcPr>
            <w:tcW w:w="2171" w:type="dxa"/>
            <w:vAlign w:val="top"/>
          </w:tcPr>
          <w:p>
            <w:pPr>
              <w:pStyle w:val="6"/>
              <w:spacing w:before="72" w:line="219" w:lineRule="auto"/>
              <w:ind w:left="566"/>
            </w:pPr>
            <w:r>
              <w:rPr>
                <w:spacing w:val="-2"/>
              </w:rPr>
              <w:t>技术特性要求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325" w:type="dxa"/>
            <w:vMerge w:val="restart"/>
            <w:tcBorders>
              <w:bottom w:val="nil"/>
            </w:tcBorders>
            <w:textDirection w:val="tbRlV"/>
            <w:vAlign w:val="top"/>
          </w:tcPr>
          <w:p>
            <w:pPr>
              <w:pStyle w:val="6"/>
              <w:spacing w:before="86" w:line="199" w:lineRule="auto"/>
              <w:ind w:left="2101"/>
            </w:pPr>
            <w:r>
              <w:t>闭式系统</w:t>
            </w:r>
          </w:p>
        </w:tc>
        <w:tc>
          <w:tcPr>
            <w:tcW w:w="1258" w:type="dxa"/>
            <w:vAlign w:val="top"/>
          </w:tcPr>
          <w:p>
            <w:pPr>
              <w:pStyle w:val="6"/>
              <w:spacing w:before="227" w:line="221" w:lineRule="auto"/>
              <w:ind w:left="80"/>
            </w:pPr>
            <w:r>
              <w:rPr>
                <w:spacing w:val="-2"/>
              </w:rPr>
              <w:t>湿式系统</w:t>
            </w:r>
          </w:p>
        </w:tc>
        <w:tc>
          <w:tcPr>
            <w:tcW w:w="2076" w:type="dxa"/>
            <w:vAlign w:val="top"/>
          </w:tcPr>
          <w:p>
            <w:pPr>
              <w:pStyle w:val="6"/>
              <w:spacing w:before="116" w:line="253" w:lineRule="auto"/>
              <w:ind w:left="111" w:right="65" w:hanging="59"/>
            </w:pPr>
            <w:r>
              <w:rPr>
                <w:spacing w:val="-1"/>
              </w:rPr>
              <w:t>环境温度不低于4℃且不高</w:t>
            </w:r>
            <w:r>
              <w:rPr>
                <w:spacing w:val="-2"/>
              </w:rPr>
              <w:t>于70℃的场所</w:t>
            </w:r>
          </w:p>
        </w:tc>
        <w:tc>
          <w:tcPr>
            <w:tcW w:w="2171" w:type="dxa"/>
            <w:vAlign w:val="top"/>
          </w:tcPr>
          <w:p>
            <w:pPr>
              <w:pStyle w:val="6"/>
              <w:spacing w:before="106" w:line="253" w:lineRule="auto"/>
              <w:ind w:left="115" w:right="80" w:hanging="19"/>
            </w:pPr>
            <w:r>
              <w:rPr>
                <w:spacing w:val="2"/>
              </w:rPr>
              <w:t>应在开放1个喷头后自动启</w:t>
            </w:r>
            <w:r>
              <w:rPr>
                <w:spacing w:val="-2"/>
              </w:rPr>
              <w:t>动系统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325" w:type="dxa"/>
            <w:vMerge w:val="continue"/>
            <w:tcBorders>
              <w:top w:val="nil"/>
              <w:bottom w:val="nil"/>
            </w:tcBorders>
            <w:textDirection w:val="tbRlV"/>
            <w:vAlign w:val="top"/>
          </w:tcPr>
          <w:p>
            <w:pPr>
              <w:rPr>
                <w:rFonts w:ascii="Arial"/>
                <w:sz w:val="21"/>
              </w:rPr>
            </w:pPr>
          </w:p>
        </w:tc>
        <w:tc>
          <w:tcPr>
            <w:tcW w:w="1258" w:type="dxa"/>
            <w:vAlign w:val="top"/>
          </w:tcPr>
          <w:p>
            <w:pPr>
              <w:spacing w:line="290" w:lineRule="auto"/>
              <w:rPr>
                <w:rFonts w:ascii="Arial"/>
                <w:sz w:val="21"/>
              </w:rPr>
            </w:pPr>
          </w:p>
          <w:p>
            <w:pPr>
              <w:pStyle w:val="6"/>
              <w:spacing w:before="55" w:line="219" w:lineRule="auto"/>
              <w:ind w:left="80"/>
            </w:pPr>
            <w:r>
              <w:rPr>
                <w:spacing w:val="-2"/>
              </w:rPr>
              <w:t>干式系统</w:t>
            </w:r>
          </w:p>
        </w:tc>
        <w:tc>
          <w:tcPr>
            <w:tcW w:w="2076" w:type="dxa"/>
            <w:vAlign w:val="top"/>
          </w:tcPr>
          <w:p>
            <w:pPr>
              <w:pStyle w:val="6"/>
              <w:spacing w:before="147" w:line="230" w:lineRule="auto"/>
              <w:ind w:left="12" w:right="24" w:firstLine="119"/>
            </w:pPr>
            <w:r>
              <w:rPr>
                <w:spacing w:val="1"/>
              </w:rPr>
              <w:t>环境温度低丁4℃或高丁</w:t>
            </w:r>
            <w:r>
              <w:rPr>
                <w:spacing w:val="-1"/>
              </w:rPr>
              <w:t>70℃的场所，如室内冰雪活</w:t>
            </w:r>
            <w:r>
              <w:rPr>
                <w:spacing w:val="24"/>
              </w:rPr>
              <w:t>动场所</w:t>
            </w:r>
          </w:p>
        </w:tc>
        <w:tc>
          <w:tcPr>
            <w:tcW w:w="2171" w:type="dxa"/>
            <w:vAlign w:val="top"/>
          </w:tcPr>
          <w:p>
            <w:pPr>
              <w:pStyle w:val="6"/>
              <w:spacing w:before="147" w:line="230" w:lineRule="auto"/>
              <w:ind w:left="56"/>
              <w:jc w:val="both"/>
            </w:pPr>
            <w:r>
              <w:rPr>
                <w:spacing w:val="-3"/>
              </w:rPr>
              <w:t>灭火系统管网容积不宜大于</w:t>
            </w:r>
            <w:r>
              <w:rPr>
                <w:spacing w:val="-2"/>
              </w:rPr>
              <w:t>1500L;当设有排气装置时，</w:t>
            </w:r>
            <w:r>
              <w:rPr>
                <w:spacing w:val="3"/>
              </w:rPr>
              <w:t>不宜大于3000L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325" w:type="dxa"/>
            <w:vMerge w:val="continue"/>
            <w:tcBorders>
              <w:top w:val="nil"/>
              <w:bottom w:val="nil"/>
            </w:tcBorders>
            <w:textDirection w:val="tbRlV"/>
            <w:vAlign w:val="top"/>
          </w:tcPr>
          <w:p>
            <w:pPr>
              <w:rPr>
                <w:rFonts w:ascii="Arial"/>
                <w:sz w:val="21"/>
              </w:rPr>
            </w:pPr>
          </w:p>
        </w:tc>
        <w:tc>
          <w:tcPr>
            <w:tcW w:w="1258" w:type="dxa"/>
            <w:vAlign w:val="top"/>
          </w:tcPr>
          <w:p>
            <w:pPr>
              <w:spacing w:line="304" w:lineRule="auto"/>
              <w:rPr>
                <w:rFonts w:ascii="Arial"/>
                <w:sz w:val="21"/>
              </w:rPr>
            </w:pPr>
          </w:p>
          <w:p>
            <w:pPr>
              <w:pStyle w:val="6"/>
              <w:spacing w:before="55" w:line="253" w:lineRule="auto"/>
              <w:ind w:left="80" w:right="70"/>
            </w:pPr>
            <w:r>
              <w:rPr>
                <w:spacing w:val="-2"/>
              </w:rPr>
              <w:t>预作用系统(单</w:t>
            </w:r>
            <w:r>
              <w:rPr>
                <w:spacing w:val="14"/>
              </w:rPr>
              <w:t>连锁)</w:t>
            </w:r>
          </w:p>
        </w:tc>
        <w:tc>
          <w:tcPr>
            <w:tcW w:w="2076" w:type="dxa"/>
            <w:vAlign w:val="top"/>
          </w:tcPr>
          <w:p>
            <w:pPr>
              <w:pStyle w:val="6"/>
              <w:spacing w:before="248" w:line="236" w:lineRule="auto"/>
              <w:ind w:left="92" w:right="110"/>
              <w:jc w:val="both"/>
            </w:pPr>
            <w:r>
              <w:rPr>
                <w:spacing w:val="-1"/>
              </w:rPr>
              <w:t>系统处于准工作状态时严禁误喷否则有重大损失的</w:t>
            </w:r>
            <w:r>
              <w:rPr>
                <w:spacing w:val="-2"/>
              </w:rPr>
              <w:t>场所</w:t>
            </w:r>
          </w:p>
        </w:tc>
        <w:tc>
          <w:tcPr>
            <w:tcW w:w="2171" w:type="dxa"/>
            <w:vAlign w:val="top"/>
          </w:tcPr>
          <w:p>
            <w:pPr>
              <w:pStyle w:val="6"/>
              <w:spacing w:before="141"/>
              <w:ind w:left="56" w:right="54"/>
              <w:jc w:val="both"/>
            </w:pPr>
            <w:r>
              <w:rPr>
                <w:spacing w:val="-1"/>
              </w:rPr>
              <w:t>仅由火灾自动报警系统直接控制，火灾时探测器动作应</w:t>
            </w:r>
            <w:r>
              <w:t>先于喷头动作，系统充水时</w:t>
            </w:r>
            <w:r>
              <w:rPr>
                <w:spacing w:val="9"/>
              </w:rPr>
              <w:t>间不宜大于2</w:t>
            </w:r>
            <w:r>
              <w:t>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trPr>
        <w:tc>
          <w:tcPr>
            <w:tcW w:w="325" w:type="dxa"/>
            <w:vMerge w:val="continue"/>
            <w:tcBorders>
              <w:top w:val="nil"/>
              <w:bottom w:val="nil"/>
            </w:tcBorders>
            <w:textDirection w:val="tbRlV"/>
            <w:vAlign w:val="top"/>
          </w:tcPr>
          <w:p>
            <w:pPr>
              <w:rPr>
                <w:rFonts w:ascii="Arial"/>
                <w:sz w:val="21"/>
              </w:rPr>
            </w:pPr>
          </w:p>
        </w:tc>
        <w:tc>
          <w:tcPr>
            <w:tcW w:w="1258" w:type="dxa"/>
            <w:vAlign w:val="top"/>
          </w:tcPr>
          <w:p>
            <w:pPr>
              <w:spacing w:line="423" w:lineRule="auto"/>
              <w:rPr>
                <w:rFonts w:ascii="Arial"/>
                <w:sz w:val="21"/>
              </w:rPr>
            </w:pPr>
          </w:p>
          <w:p>
            <w:pPr>
              <w:pStyle w:val="6"/>
              <w:spacing w:before="56" w:line="243" w:lineRule="auto"/>
              <w:ind w:left="80" w:right="70"/>
            </w:pPr>
            <w:r>
              <w:rPr>
                <w:spacing w:val="-2"/>
              </w:rPr>
              <w:t>预作用系统(双</w:t>
            </w:r>
            <w:r>
              <w:rPr>
                <w:spacing w:val="14"/>
              </w:rPr>
              <w:t>连锁)</w:t>
            </w:r>
          </w:p>
        </w:tc>
        <w:tc>
          <w:tcPr>
            <w:tcW w:w="2076" w:type="dxa"/>
            <w:vAlign w:val="top"/>
          </w:tcPr>
          <w:p>
            <w:pPr>
              <w:spacing w:line="424" w:lineRule="auto"/>
              <w:rPr>
                <w:rFonts w:ascii="Arial"/>
                <w:sz w:val="21"/>
              </w:rPr>
            </w:pPr>
          </w:p>
          <w:p>
            <w:pPr>
              <w:pStyle w:val="6"/>
              <w:spacing w:before="55" w:line="241" w:lineRule="auto"/>
              <w:ind w:left="81" w:right="114" w:firstLine="10"/>
            </w:pPr>
            <w:r>
              <w:rPr>
                <w:spacing w:val="-1"/>
              </w:rPr>
              <w:t>系统处于准工作状态时严禁管道充水的场所</w:t>
            </w:r>
          </w:p>
        </w:tc>
        <w:tc>
          <w:tcPr>
            <w:tcW w:w="2171" w:type="dxa"/>
            <w:vAlign w:val="top"/>
          </w:tcPr>
          <w:p>
            <w:pPr>
              <w:pStyle w:val="6"/>
              <w:spacing w:before="162" w:line="219" w:lineRule="auto"/>
              <w:ind w:left="56"/>
            </w:pPr>
            <w:r>
              <w:t>由火灾自动报警系统和充气</w:t>
            </w:r>
          </w:p>
          <w:p>
            <w:pPr>
              <w:pStyle w:val="6"/>
              <w:spacing w:before="28" w:line="219" w:lineRule="auto"/>
              <w:ind w:left="146"/>
            </w:pPr>
            <w:r>
              <w:rPr>
                <w:spacing w:val="-1"/>
              </w:rPr>
              <w:t>管道上设置的压力开关控</w:t>
            </w:r>
          </w:p>
          <w:p>
            <w:pPr>
              <w:pStyle w:val="6"/>
              <w:spacing w:before="8" w:line="217" w:lineRule="auto"/>
              <w:ind w:left="56"/>
            </w:pPr>
            <w:r>
              <w:rPr>
                <w:spacing w:val="-1"/>
              </w:rPr>
              <w:t>制，火灾时探测器动作应先</w:t>
            </w:r>
          </w:p>
          <w:p>
            <w:pPr>
              <w:pStyle w:val="6"/>
              <w:spacing w:line="219" w:lineRule="auto"/>
              <w:ind w:left="56"/>
            </w:pPr>
            <w:r>
              <w:rPr>
                <w:spacing w:val="1"/>
              </w:rPr>
              <w:t>于喷头动作，系统充水时间</w:t>
            </w:r>
          </w:p>
          <w:p>
            <w:pPr>
              <w:pStyle w:val="6"/>
              <w:spacing w:before="8" w:line="220" w:lineRule="auto"/>
              <w:ind w:left="96"/>
            </w:pPr>
            <w:r>
              <w:rPr>
                <w:spacing w:val="-2"/>
              </w:rPr>
              <w:t>不宜大于1min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325" w:type="dxa"/>
            <w:vMerge w:val="continue"/>
            <w:tcBorders>
              <w:top w:val="nil"/>
            </w:tcBorders>
            <w:textDirection w:val="tbRlV"/>
            <w:vAlign w:val="top"/>
          </w:tcPr>
          <w:p>
            <w:pPr>
              <w:rPr>
                <w:rFonts w:ascii="Arial"/>
                <w:sz w:val="21"/>
              </w:rPr>
            </w:pPr>
          </w:p>
        </w:tc>
        <w:tc>
          <w:tcPr>
            <w:tcW w:w="1258" w:type="dxa"/>
            <w:vAlign w:val="top"/>
          </w:tcPr>
          <w:p>
            <w:pPr>
              <w:pStyle w:val="6"/>
              <w:spacing w:before="284" w:line="232" w:lineRule="auto"/>
              <w:ind w:left="80" w:right="155"/>
            </w:pPr>
            <w:r>
              <w:rPr>
                <w:spacing w:val="-2"/>
              </w:rPr>
              <w:t>重复启闭预作用系统</w:t>
            </w:r>
          </w:p>
        </w:tc>
        <w:tc>
          <w:tcPr>
            <w:tcW w:w="2076" w:type="dxa"/>
            <w:vAlign w:val="top"/>
          </w:tcPr>
          <w:p>
            <w:pPr>
              <w:pStyle w:val="6"/>
              <w:spacing w:before="164" w:line="239" w:lineRule="auto"/>
              <w:ind w:left="12" w:firstLine="39"/>
            </w:pPr>
            <w:r>
              <w:rPr>
                <w:spacing w:val="-3"/>
              </w:rPr>
              <w:t>灭火后必须及时停止喷水，复燃时再次打开阀门，需要</w:t>
            </w:r>
          </w:p>
          <w:p>
            <w:pPr>
              <w:pStyle w:val="6"/>
              <w:spacing w:line="219" w:lineRule="auto"/>
              <w:ind w:left="102"/>
            </w:pPr>
            <w:r>
              <w:rPr>
                <w:spacing w:val="-1"/>
              </w:rPr>
              <w:t>减少水渍损失的场所</w:t>
            </w:r>
          </w:p>
        </w:tc>
        <w:tc>
          <w:tcPr>
            <w:tcW w:w="2171" w:type="dxa"/>
            <w:vAlign w:val="top"/>
          </w:tcPr>
          <w:p>
            <w:pPr>
              <w:pStyle w:val="6"/>
              <w:spacing w:before="264" w:line="251" w:lineRule="auto"/>
              <w:ind w:left="105" w:right="71" w:hanging="49"/>
            </w:pPr>
            <w:r>
              <w:rPr>
                <w:spacing w:val="-1"/>
              </w:rPr>
              <w:t>应设火灾探测装置、启闭控制阀或采用启闭式喷头</w:t>
            </w:r>
          </w:p>
        </w:tc>
      </w:tr>
    </w:tbl>
    <w:p>
      <w:pPr>
        <w:pStyle w:val="2"/>
        <w:spacing w:line="95" w:lineRule="exact"/>
        <w:rPr>
          <w:sz w:val="8"/>
        </w:rPr>
      </w:pPr>
    </w:p>
    <w:p>
      <w:pPr>
        <w:spacing w:line="95" w:lineRule="exact"/>
        <w:rPr>
          <w:sz w:val="8"/>
          <w:szCs w:val="8"/>
        </w:rPr>
        <w:sectPr>
          <w:footerReference r:id="rId104" w:type="default"/>
          <w:pgSz w:w="8280" w:h="11850"/>
          <w:pgMar w:top="400" w:right="1155" w:bottom="1310" w:left="1200" w:header="0" w:footer="1037" w:gutter="0"/>
          <w:cols w:space="720" w:num="1"/>
        </w:sectPr>
      </w:pPr>
    </w:p>
    <w:p>
      <w:pPr>
        <w:pStyle w:val="2"/>
        <w:spacing w:line="282" w:lineRule="auto"/>
      </w:pPr>
    </w:p>
    <w:p>
      <w:pPr>
        <w:pStyle w:val="2"/>
        <w:spacing w:line="282" w:lineRule="auto"/>
      </w:pPr>
    </w:p>
    <w:p>
      <w:pPr>
        <w:pStyle w:val="2"/>
        <w:spacing w:line="283" w:lineRule="auto"/>
      </w:pPr>
    </w:p>
    <w:p>
      <w:pPr>
        <w:spacing w:before="52" w:line="223" w:lineRule="auto"/>
        <w:ind w:left="2"/>
        <w:rPr>
          <w:rFonts w:ascii="黑体" w:hAnsi="黑体" w:eastAsia="黑体" w:cs="黑体"/>
          <w:sz w:val="16"/>
          <w:szCs w:val="16"/>
        </w:rPr>
      </w:pPr>
      <w:bookmarkStart w:id="98" w:name="bookmark120"/>
      <w:bookmarkEnd w:id="98"/>
      <w:bookmarkStart w:id="99" w:name="bookmark141"/>
      <w:bookmarkEnd w:id="99"/>
      <w:r>
        <w:rPr>
          <w:rFonts w:ascii="黑体" w:hAnsi="黑体" w:eastAsia="黑体" w:cs="黑体"/>
          <w:b/>
          <w:bCs/>
          <w:spacing w:val="-4"/>
          <w:sz w:val="16"/>
          <w:szCs w:val="16"/>
        </w:rPr>
        <w:t>续表2</w:t>
      </w:r>
    </w:p>
    <w:p>
      <w:pPr>
        <w:spacing w:line="76" w:lineRule="exact"/>
      </w:pPr>
    </w:p>
    <w:tbl>
      <w:tblPr>
        <w:tblStyle w:val="5"/>
        <w:tblW w:w="5859"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4"/>
        <w:gridCol w:w="1288"/>
        <w:gridCol w:w="2066"/>
        <w:gridCol w:w="21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602" w:type="dxa"/>
            <w:gridSpan w:val="2"/>
            <w:vAlign w:val="top"/>
          </w:tcPr>
          <w:p>
            <w:pPr>
              <w:pStyle w:val="6"/>
              <w:spacing w:before="72" w:line="219" w:lineRule="auto"/>
              <w:ind w:left="454"/>
            </w:pPr>
            <w:r>
              <w:rPr>
                <w:spacing w:val="-2"/>
              </w:rPr>
              <w:t>系统分类</w:t>
            </w:r>
          </w:p>
        </w:tc>
        <w:tc>
          <w:tcPr>
            <w:tcW w:w="2066" w:type="dxa"/>
            <w:vAlign w:val="top"/>
          </w:tcPr>
          <w:p>
            <w:pPr>
              <w:pStyle w:val="6"/>
              <w:spacing w:before="72" w:line="220" w:lineRule="auto"/>
              <w:ind w:left="682"/>
            </w:pPr>
            <w:r>
              <w:rPr>
                <w:spacing w:val="-2"/>
              </w:rPr>
              <w:t>适用场所</w:t>
            </w:r>
          </w:p>
        </w:tc>
        <w:tc>
          <w:tcPr>
            <w:tcW w:w="2191" w:type="dxa"/>
            <w:vAlign w:val="top"/>
          </w:tcPr>
          <w:p>
            <w:pPr>
              <w:pStyle w:val="6"/>
              <w:spacing w:before="72" w:line="219" w:lineRule="auto"/>
              <w:ind w:left="576"/>
            </w:pPr>
            <w:r>
              <w:rPr>
                <w:spacing w:val="-2"/>
              </w:rPr>
              <w:t>技术特性要求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314" w:type="dxa"/>
            <w:textDirection w:val="tbRlV"/>
            <w:vAlign w:val="top"/>
          </w:tcPr>
          <w:p>
            <w:pPr>
              <w:pStyle w:val="6"/>
              <w:spacing w:before="85" w:line="199" w:lineRule="auto"/>
              <w:ind w:left="282"/>
            </w:pPr>
            <w:r>
              <w:t>闭式系统</w:t>
            </w:r>
          </w:p>
        </w:tc>
        <w:tc>
          <w:tcPr>
            <w:tcW w:w="1288" w:type="dxa"/>
            <w:vAlign w:val="top"/>
          </w:tcPr>
          <w:p>
            <w:pPr>
              <w:spacing w:line="245" w:lineRule="auto"/>
              <w:rPr>
                <w:rFonts w:ascii="Arial"/>
                <w:sz w:val="21"/>
              </w:rPr>
            </w:pPr>
          </w:p>
          <w:p>
            <w:pPr>
              <w:spacing w:line="245" w:lineRule="auto"/>
              <w:rPr>
                <w:rFonts w:ascii="Arial"/>
                <w:sz w:val="21"/>
              </w:rPr>
            </w:pPr>
          </w:p>
          <w:p>
            <w:pPr>
              <w:pStyle w:val="6"/>
              <w:spacing w:before="55" w:line="220" w:lineRule="auto"/>
              <w:ind w:left="80"/>
            </w:pPr>
            <w:r>
              <w:rPr>
                <w:spacing w:val="1"/>
              </w:rPr>
              <w:t>防护冷却系统</w:t>
            </w:r>
          </w:p>
        </w:tc>
        <w:tc>
          <w:tcPr>
            <w:tcW w:w="2066" w:type="dxa"/>
            <w:vAlign w:val="top"/>
          </w:tcPr>
          <w:p>
            <w:pPr>
              <w:pStyle w:val="6"/>
              <w:spacing w:before="128" w:line="219" w:lineRule="auto"/>
              <w:ind w:left="92"/>
            </w:pPr>
            <w:r>
              <w:rPr>
                <w:spacing w:val="1"/>
              </w:rPr>
              <w:t>步行街两侧商铺和中庭回</w:t>
            </w:r>
          </w:p>
          <w:p>
            <w:pPr>
              <w:pStyle w:val="6"/>
              <w:spacing w:before="28" w:line="219" w:lineRule="auto"/>
              <w:ind w:left="2"/>
            </w:pPr>
            <w:r>
              <w:rPr>
                <w:spacing w:val="-1"/>
              </w:rPr>
              <w:t>廊周围房间，耐火隔热性能</w:t>
            </w:r>
          </w:p>
          <w:p>
            <w:pPr>
              <w:pStyle w:val="6"/>
              <w:spacing w:before="8" w:line="219" w:lineRule="auto"/>
              <w:ind w:left="92"/>
            </w:pPr>
            <w:r>
              <w:rPr>
                <w:spacing w:val="-1"/>
              </w:rPr>
              <w:t>达不到耐火极限的防火玻</w:t>
            </w:r>
          </w:p>
          <w:p>
            <w:pPr>
              <w:pStyle w:val="6"/>
              <w:spacing w:before="18" w:line="219" w:lineRule="auto"/>
              <w:ind w:left="92"/>
            </w:pPr>
            <w:r>
              <w:rPr>
                <w:spacing w:val="-1"/>
              </w:rPr>
              <w:t>璃及防火卷帘。不得用于</w:t>
            </w:r>
          </w:p>
          <w:p>
            <w:pPr>
              <w:pStyle w:val="6"/>
              <w:spacing w:before="8" w:line="219" w:lineRule="auto"/>
              <w:ind w:left="112"/>
            </w:pPr>
            <w:r>
              <w:rPr>
                <w:spacing w:val="2"/>
              </w:rPr>
              <w:t>防火分区分隔</w:t>
            </w:r>
          </w:p>
        </w:tc>
        <w:tc>
          <w:tcPr>
            <w:tcW w:w="2191" w:type="dxa"/>
            <w:vAlign w:val="top"/>
          </w:tcPr>
          <w:p>
            <w:pPr>
              <w:pStyle w:val="6"/>
              <w:spacing w:before="125" w:line="232" w:lineRule="auto"/>
              <w:ind w:left="66" w:right="29" w:firstLine="39"/>
              <w:jc w:val="both"/>
            </w:pPr>
            <w:r>
              <w:rPr>
                <w:spacing w:val="2"/>
              </w:rPr>
              <w:t>应在开放1个喷头后自动启</w:t>
            </w:r>
            <w:r>
              <w:rPr>
                <w:spacing w:val="3"/>
              </w:rPr>
              <w:t>动系统。宜采用独立系统，</w:t>
            </w:r>
            <w:r>
              <w:rPr>
                <w:spacing w:val="-1"/>
              </w:rPr>
              <w:t>包括水泵、管道及报警阀等</w:t>
            </w:r>
            <w:r>
              <w:t>附件。按照计算长度内喷头</w:t>
            </w:r>
            <w:r>
              <w:rPr>
                <w:spacing w:val="5"/>
              </w:rPr>
              <w:t>同时喷水计算流量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7" w:hRule="atLeast"/>
        </w:trPr>
        <w:tc>
          <w:tcPr>
            <w:tcW w:w="314" w:type="dxa"/>
            <w:vMerge w:val="restart"/>
            <w:tcBorders>
              <w:bottom w:val="nil"/>
            </w:tcBorders>
            <w:textDirection w:val="tbRlV"/>
            <w:vAlign w:val="top"/>
          </w:tcPr>
          <w:p>
            <w:pPr>
              <w:pStyle w:val="6"/>
              <w:spacing w:before="85" w:line="202" w:lineRule="auto"/>
              <w:ind w:left="1668"/>
            </w:pPr>
            <w:r>
              <w:t>开式系统</w:t>
            </w:r>
          </w:p>
        </w:tc>
        <w:tc>
          <w:tcPr>
            <w:tcW w:w="1288" w:type="dxa"/>
            <w:vAlign w:val="top"/>
          </w:tcPr>
          <w:p>
            <w:pPr>
              <w:spacing w:line="304" w:lineRule="auto"/>
              <w:rPr>
                <w:rFonts w:ascii="Arial"/>
                <w:sz w:val="21"/>
              </w:rPr>
            </w:pPr>
          </w:p>
          <w:p>
            <w:pPr>
              <w:spacing w:line="305" w:lineRule="auto"/>
              <w:rPr>
                <w:rFonts w:ascii="Arial"/>
                <w:sz w:val="21"/>
              </w:rPr>
            </w:pPr>
          </w:p>
          <w:p>
            <w:pPr>
              <w:pStyle w:val="6"/>
              <w:spacing w:before="55" w:line="218" w:lineRule="auto"/>
              <w:ind w:left="80"/>
            </w:pPr>
            <w:r>
              <w:rPr>
                <w:spacing w:val="2"/>
              </w:rPr>
              <w:t>雨淋系统</w:t>
            </w:r>
          </w:p>
        </w:tc>
        <w:tc>
          <w:tcPr>
            <w:tcW w:w="2066" w:type="dxa"/>
            <w:vAlign w:val="top"/>
          </w:tcPr>
          <w:p>
            <w:pPr>
              <w:pStyle w:val="6"/>
              <w:spacing w:before="160" w:line="231" w:lineRule="auto"/>
              <w:ind w:left="92" w:firstLine="9"/>
            </w:pPr>
            <w:r>
              <w:rPr>
                <w:spacing w:val="-8"/>
              </w:rPr>
              <w:t>火灾的水平蔓延速度快、闭式喷头的开放不能及时使喷</w:t>
            </w:r>
            <w:r>
              <w:rPr>
                <w:spacing w:val="-7"/>
              </w:rPr>
              <w:t>水有效覆盖着火区域；室内</w:t>
            </w:r>
            <w:r>
              <w:rPr>
                <w:spacing w:val="-3"/>
              </w:rPr>
              <w:t>净空高度超过18m,且必须</w:t>
            </w:r>
            <w:r>
              <w:rPr>
                <w:spacing w:val="-8"/>
              </w:rPr>
              <w:t>迅速扑救初期火灾；严重危</w:t>
            </w:r>
            <w:r>
              <w:rPr>
                <w:spacing w:val="5"/>
              </w:rPr>
              <w:t>险Ⅱ级</w:t>
            </w:r>
          </w:p>
        </w:tc>
        <w:tc>
          <w:tcPr>
            <w:tcW w:w="2191" w:type="dxa"/>
            <w:vAlign w:val="top"/>
          </w:tcPr>
          <w:p>
            <w:pPr>
              <w:spacing w:line="293" w:lineRule="auto"/>
              <w:rPr>
                <w:rFonts w:ascii="Arial"/>
                <w:sz w:val="21"/>
              </w:rPr>
            </w:pPr>
          </w:p>
          <w:p>
            <w:pPr>
              <w:pStyle w:val="6"/>
              <w:spacing w:before="55" w:line="228" w:lineRule="auto"/>
              <w:ind w:left="305" w:right="66" w:hanging="239"/>
            </w:pPr>
            <w:r>
              <w:t>1)应设置相应的火灾探测装</w:t>
            </w:r>
            <w:r>
              <w:rPr>
                <w:spacing w:val="10"/>
              </w:rPr>
              <w:t>置或传动管系统；</w:t>
            </w:r>
          </w:p>
          <w:p>
            <w:pPr>
              <w:pStyle w:val="6"/>
              <w:spacing w:before="19" w:line="229" w:lineRule="auto"/>
              <w:ind w:left="325" w:right="82" w:hanging="259"/>
            </w:pPr>
            <w:r>
              <w:rPr>
                <w:spacing w:val="-1"/>
              </w:rPr>
              <w:t>2)喷水区域喷头布置应能有</w:t>
            </w:r>
            <w:r>
              <w:rPr>
                <w:spacing w:val="1"/>
              </w:rPr>
              <w:t>效扑灭分界区的火灾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314" w:type="dxa"/>
            <w:vMerge w:val="continue"/>
            <w:tcBorders>
              <w:top w:val="nil"/>
              <w:bottom w:val="nil"/>
            </w:tcBorders>
            <w:textDirection w:val="tbRlV"/>
            <w:vAlign w:val="top"/>
          </w:tcPr>
          <w:p>
            <w:pPr>
              <w:rPr>
                <w:rFonts w:ascii="Arial"/>
                <w:sz w:val="21"/>
              </w:rPr>
            </w:pPr>
          </w:p>
        </w:tc>
        <w:tc>
          <w:tcPr>
            <w:tcW w:w="1288" w:type="dxa"/>
            <w:vAlign w:val="top"/>
          </w:tcPr>
          <w:p>
            <w:pPr>
              <w:spacing w:line="384" w:lineRule="auto"/>
              <w:rPr>
                <w:rFonts w:ascii="Arial"/>
                <w:sz w:val="21"/>
              </w:rPr>
            </w:pPr>
          </w:p>
          <w:p>
            <w:pPr>
              <w:pStyle w:val="6"/>
              <w:spacing w:before="55" w:line="233" w:lineRule="auto"/>
              <w:ind w:left="80" w:right="169"/>
            </w:pPr>
            <w:r>
              <w:rPr>
                <w:spacing w:val="1"/>
              </w:rPr>
              <w:t>防火分隔水幕</w:t>
            </w:r>
            <w:r>
              <w:rPr>
                <w:spacing w:val="-3"/>
              </w:rPr>
              <w:t>系统</w:t>
            </w:r>
          </w:p>
        </w:tc>
        <w:tc>
          <w:tcPr>
            <w:tcW w:w="2066" w:type="dxa"/>
            <w:vAlign w:val="top"/>
          </w:tcPr>
          <w:p>
            <w:pPr>
              <w:pStyle w:val="6"/>
              <w:spacing w:before="253" w:line="219" w:lineRule="auto"/>
              <w:ind w:left="92"/>
            </w:pPr>
            <w:r>
              <w:rPr>
                <w:spacing w:val="-1"/>
              </w:rPr>
              <w:t>代替防火分隔墙的局部开</w:t>
            </w:r>
          </w:p>
          <w:p>
            <w:pPr>
              <w:pStyle w:val="6"/>
              <w:spacing w:before="7" w:line="213" w:lineRule="auto"/>
              <w:ind w:left="171" w:right="6" w:hanging="169"/>
            </w:pPr>
            <w:r>
              <w:t>口部位，开口尺寸不宜超过</w:t>
            </w:r>
            <w:r>
              <w:rPr>
                <w:spacing w:val="1"/>
              </w:rPr>
              <w:t>15m(宽)×8m(高)(舞台</w:t>
            </w:r>
          </w:p>
          <w:p>
            <w:pPr>
              <w:pStyle w:val="6"/>
              <w:spacing w:before="18" w:line="219" w:lineRule="auto"/>
              <w:ind w:left="122"/>
            </w:pPr>
            <w:r>
              <w:rPr>
                <w:spacing w:val="8"/>
              </w:rPr>
              <w:t>口除外)</w:t>
            </w:r>
          </w:p>
        </w:tc>
        <w:tc>
          <w:tcPr>
            <w:tcW w:w="2191" w:type="dxa"/>
            <w:vAlign w:val="top"/>
          </w:tcPr>
          <w:p>
            <w:pPr>
              <w:pStyle w:val="6"/>
              <w:spacing w:before="141" w:line="218" w:lineRule="auto"/>
              <w:ind w:left="66"/>
            </w:pPr>
            <w:r>
              <w:t>1)应设独立的雨淋阀组和水</w:t>
            </w:r>
          </w:p>
          <w:p>
            <w:pPr>
              <w:pStyle w:val="6"/>
              <w:spacing w:before="9" w:line="219" w:lineRule="auto"/>
              <w:jc w:val="right"/>
            </w:pPr>
            <w:r>
              <w:rPr>
                <w:spacing w:val="-1"/>
              </w:rPr>
              <w:t>幕喷头或开式喷头，宜采</w:t>
            </w:r>
          </w:p>
          <w:p>
            <w:pPr>
              <w:pStyle w:val="6"/>
              <w:spacing w:before="9" w:line="206" w:lineRule="auto"/>
              <w:ind w:left="156"/>
            </w:pPr>
            <w:r>
              <w:rPr>
                <w:spacing w:val="7"/>
              </w:rPr>
              <w:t>用独立系统，多排启动；</w:t>
            </w:r>
          </w:p>
          <w:p>
            <w:pPr>
              <w:pStyle w:val="6"/>
              <w:spacing w:line="229" w:lineRule="auto"/>
              <w:ind w:left="315" w:right="82" w:hanging="249"/>
            </w:pPr>
            <w:r>
              <w:rPr>
                <w:spacing w:val="-1"/>
              </w:rPr>
              <w:t>2)应设置相应的火灾探测装置或传动管系统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2" w:hRule="atLeast"/>
        </w:trPr>
        <w:tc>
          <w:tcPr>
            <w:tcW w:w="314" w:type="dxa"/>
            <w:vMerge w:val="continue"/>
            <w:tcBorders>
              <w:top w:val="nil"/>
            </w:tcBorders>
            <w:textDirection w:val="tbRlV"/>
            <w:vAlign w:val="top"/>
          </w:tcPr>
          <w:p>
            <w:pPr>
              <w:rPr>
                <w:rFonts w:ascii="Arial"/>
                <w:sz w:val="21"/>
              </w:rPr>
            </w:pPr>
          </w:p>
        </w:tc>
        <w:tc>
          <w:tcPr>
            <w:tcW w:w="1288" w:type="dxa"/>
            <w:vAlign w:val="top"/>
          </w:tcPr>
          <w:p>
            <w:pPr>
              <w:spacing w:line="386" w:lineRule="auto"/>
              <w:rPr>
                <w:rFonts w:ascii="Arial"/>
                <w:sz w:val="21"/>
              </w:rPr>
            </w:pPr>
          </w:p>
          <w:p>
            <w:pPr>
              <w:pStyle w:val="6"/>
              <w:spacing w:before="55" w:line="244" w:lineRule="auto"/>
              <w:ind w:left="80" w:right="169"/>
            </w:pPr>
            <w:r>
              <w:rPr>
                <w:spacing w:val="1"/>
              </w:rPr>
              <w:t>防护冷却水幕</w:t>
            </w:r>
            <w:r>
              <w:rPr>
                <w:spacing w:val="-3"/>
              </w:rPr>
              <w:t>系统</w:t>
            </w:r>
          </w:p>
        </w:tc>
        <w:tc>
          <w:tcPr>
            <w:tcW w:w="2066" w:type="dxa"/>
            <w:vAlign w:val="top"/>
          </w:tcPr>
          <w:p>
            <w:pPr>
              <w:pStyle w:val="6"/>
              <w:spacing w:before="145" w:line="219" w:lineRule="auto"/>
              <w:ind w:left="2"/>
            </w:pPr>
            <w:r>
              <w:t>防火卷帘、防火玻璃墙的耐</w:t>
            </w:r>
          </w:p>
          <w:p>
            <w:pPr>
              <w:pStyle w:val="6"/>
              <w:spacing w:before="18" w:line="219" w:lineRule="auto"/>
              <w:ind w:left="92"/>
            </w:pPr>
            <w:r>
              <w:rPr>
                <w:spacing w:val="-1"/>
              </w:rPr>
              <w:t>火隔热性能不能满足耐火</w:t>
            </w:r>
          </w:p>
          <w:p>
            <w:pPr>
              <w:pStyle w:val="6"/>
              <w:spacing w:before="8" w:line="219" w:lineRule="auto"/>
              <w:ind w:left="2"/>
            </w:pPr>
            <w:r>
              <w:rPr>
                <w:spacing w:val="-1"/>
              </w:rPr>
              <w:t>极限时，单樘防火卷帘或连</w:t>
            </w:r>
          </w:p>
          <w:p>
            <w:pPr>
              <w:pStyle w:val="6"/>
              <w:spacing w:before="18" w:line="219" w:lineRule="auto"/>
              <w:ind w:left="92"/>
            </w:pPr>
            <w:r>
              <w:rPr>
                <w:spacing w:val="-1"/>
              </w:rPr>
              <w:t>续防火玻璃墙长度不宜超</w:t>
            </w:r>
          </w:p>
          <w:p>
            <w:pPr>
              <w:pStyle w:val="6"/>
              <w:spacing w:before="5" w:line="227" w:lineRule="auto"/>
              <w:ind w:left="92"/>
            </w:pPr>
            <w:r>
              <w:rPr>
                <w:spacing w:val="-10"/>
              </w:rPr>
              <w:t>过15m</w:t>
            </w:r>
          </w:p>
        </w:tc>
        <w:tc>
          <w:tcPr>
            <w:tcW w:w="2191" w:type="dxa"/>
            <w:vAlign w:val="top"/>
          </w:tcPr>
          <w:p>
            <w:pPr>
              <w:pStyle w:val="6"/>
              <w:spacing w:before="143" w:line="232" w:lineRule="auto"/>
              <w:ind w:left="316" w:hanging="250"/>
            </w:pPr>
            <w:r>
              <w:rPr>
                <w:spacing w:val="-6"/>
              </w:rPr>
              <w:t>1)应设独立的雨淋阀组和水</w:t>
            </w:r>
            <w:r>
              <w:rPr>
                <w:spacing w:val="-15"/>
              </w:rPr>
              <w:t>幕喷头，宜采用独立系统，</w:t>
            </w:r>
            <w:r>
              <w:rPr>
                <w:spacing w:val="10"/>
              </w:rPr>
              <w:t>单排启动；</w:t>
            </w:r>
          </w:p>
          <w:p>
            <w:pPr>
              <w:pStyle w:val="6"/>
              <w:spacing w:line="228" w:lineRule="auto"/>
              <w:ind w:left="325" w:right="82" w:hanging="259"/>
            </w:pPr>
            <w:r>
              <w:rPr>
                <w:spacing w:val="-1"/>
              </w:rPr>
              <w:t>2)应设置相应的火灾探测装置或传动管系统</w:t>
            </w:r>
          </w:p>
        </w:tc>
      </w:tr>
    </w:tbl>
    <w:p>
      <w:pPr>
        <w:spacing w:before="211" w:line="273" w:lineRule="auto"/>
        <w:ind w:right="14" w:firstLine="429"/>
        <w:jc w:val="both"/>
        <w:rPr>
          <w:rFonts w:ascii="宋体" w:hAnsi="宋体" w:eastAsia="宋体" w:cs="宋体"/>
          <w:sz w:val="21"/>
          <w:szCs w:val="21"/>
        </w:rPr>
      </w:pPr>
      <w:r>
        <w:rPr>
          <w:rFonts w:ascii="宋体" w:hAnsi="宋体" w:eastAsia="宋体" w:cs="宋体"/>
          <w:spacing w:val="-1"/>
          <w:sz w:val="21"/>
          <w:szCs w:val="21"/>
        </w:rPr>
        <w:t>纸质档案库、磁带介质库及数据机房等一般可属于系统处于准工作状态时严禁误喷否则有重大损失的场所；冷库一般可属于系统处于准工作状态时严禁管道充水的场所；图书馆可属于灭火</w:t>
      </w:r>
      <w:r>
        <w:rPr>
          <w:rFonts w:ascii="宋体" w:hAnsi="宋体" w:eastAsia="宋体" w:cs="宋体"/>
          <w:spacing w:val="-8"/>
          <w:sz w:val="21"/>
          <w:szCs w:val="21"/>
        </w:rPr>
        <w:t>后必须及时停止喷水，复燃时再喷，需要减少水渍损失的场所；摄</w:t>
      </w:r>
      <w:r>
        <w:rPr>
          <w:rFonts w:ascii="宋体" w:hAnsi="宋体" w:eastAsia="宋体" w:cs="宋体"/>
          <w:spacing w:val="-1"/>
          <w:sz w:val="21"/>
          <w:szCs w:val="21"/>
        </w:rPr>
        <w:t>影棚、有幕布的舞台葡萄架下部、有易燃材料的景观展厅等一般</w:t>
      </w:r>
      <w:r>
        <w:rPr>
          <w:rFonts w:ascii="宋体" w:hAnsi="宋体" w:eastAsia="宋体" w:cs="宋体"/>
          <w:spacing w:val="-3"/>
          <w:sz w:val="21"/>
          <w:szCs w:val="21"/>
        </w:rPr>
        <w:t>属于需要采用雨淋系统的场所。</w:t>
      </w:r>
    </w:p>
    <w:p>
      <w:pPr>
        <w:spacing w:before="28" w:line="274" w:lineRule="auto"/>
        <w:ind w:right="33" w:firstLine="3"/>
        <w:jc w:val="both"/>
        <w:rPr>
          <w:rFonts w:ascii="宋体" w:hAnsi="宋体" w:eastAsia="宋体" w:cs="宋体"/>
          <w:sz w:val="21"/>
          <w:szCs w:val="21"/>
        </w:rPr>
      </w:pPr>
      <w:r>
        <w:rPr>
          <w:rFonts w:ascii="宋体" w:hAnsi="宋体" w:eastAsia="宋体" w:cs="宋体"/>
          <w:b/>
          <w:bCs/>
          <w:spacing w:val="4"/>
          <w:sz w:val="21"/>
          <w:szCs w:val="21"/>
        </w:rPr>
        <w:t>6.1.9</w:t>
      </w:r>
      <w:r>
        <w:rPr>
          <w:rFonts w:ascii="宋体" w:hAnsi="宋体" w:eastAsia="宋体" w:cs="宋体"/>
          <w:spacing w:val="4"/>
          <w:sz w:val="21"/>
          <w:szCs w:val="21"/>
        </w:rPr>
        <w:t>净空高度大于8m时的干式及预作用系统设置要求，喷</w:t>
      </w:r>
      <w:r>
        <w:rPr>
          <w:rFonts w:ascii="宋体" w:hAnsi="宋体" w:eastAsia="宋体" w:cs="宋体"/>
          <w:spacing w:val="7"/>
          <w:sz w:val="21"/>
          <w:szCs w:val="21"/>
        </w:rPr>
        <w:t>水强度应经测试或者试验确定。当采用创新性的技术方法和措</w:t>
      </w:r>
      <w:r>
        <w:rPr>
          <w:rFonts w:ascii="宋体" w:hAnsi="宋体" w:eastAsia="宋体" w:cs="宋体"/>
          <w:spacing w:val="-6"/>
          <w:sz w:val="21"/>
          <w:szCs w:val="21"/>
        </w:rPr>
        <w:t>施时，应进行论证并符合消防性能的要求。</w:t>
      </w:r>
    </w:p>
    <w:p>
      <w:pPr>
        <w:spacing w:line="274" w:lineRule="auto"/>
        <w:rPr>
          <w:rFonts w:ascii="宋体" w:hAnsi="宋体" w:eastAsia="宋体" w:cs="宋体"/>
          <w:sz w:val="21"/>
          <w:szCs w:val="21"/>
        </w:rPr>
        <w:sectPr>
          <w:footerReference r:id="rId105" w:type="default"/>
          <w:pgSz w:w="8280" w:h="11850"/>
          <w:pgMar w:top="400" w:right="1205" w:bottom="1320" w:left="1179" w:header="0" w:footer="1047" w:gutter="0"/>
          <w:cols w:space="720" w:num="1"/>
        </w:sectPr>
      </w:pPr>
    </w:p>
    <w:p>
      <w:pPr>
        <w:pStyle w:val="2"/>
        <w:spacing w:line="274" w:lineRule="auto"/>
      </w:pPr>
    </w:p>
    <w:p>
      <w:pPr>
        <w:pStyle w:val="2"/>
        <w:spacing w:line="274" w:lineRule="auto"/>
      </w:pPr>
    </w:p>
    <w:p>
      <w:pPr>
        <w:pStyle w:val="2"/>
        <w:spacing w:line="274" w:lineRule="auto"/>
      </w:pPr>
    </w:p>
    <w:p>
      <w:pPr>
        <w:spacing w:before="68" w:line="276" w:lineRule="auto"/>
        <w:ind w:left="104"/>
        <w:jc w:val="both"/>
        <w:rPr>
          <w:rFonts w:ascii="宋体" w:hAnsi="宋体" w:eastAsia="宋体" w:cs="宋体"/>
          <w:sz w:val="21"/>
          <w:szCs w:val="21"/>
        </w:rPr>
      </w:pPr>
      <w:r>
        <w:rPr>
          <w:rFonts w:ascii="Times New Roman" w:hAnsi="Times New Roman" w:eastAsia="Times New Roman" w:cs="Times New Roman"/>
          <w:b/>
          <w:bCs/>
          <w:spacing w:val="2"/>
          <w:sz w:val="21"/>
          <w:szCs w:val="21"/>
        </w:rPr>
        <w:t>6.1.11</w:t>
      </w:r>
      <w:r>
        <w:rPr>
          <w:rFonts w:ascii="宋体" w:hAnsi="宋体" w:eastAsia="宋体" w:cs="宋体"/>
          <w:spacing w:val="2"/>
          <w:sz w:val="21"/>
          <w:szCs w:val="21"/>
        </w:rPr>
        <w:t>城市综合体是指建筑面积大于或等于50000</w:t>
      </w:r>
      <w:r>
        <w:rPr>
          <w:rFonts w:ascii="Times New Roman" w:hAnsi="Times New Roman" w:eastAsia="Times New Roman" w:cs="Times New Roman"/>
          <w:spacing w:val="2"/>
          <w:sz w:val="21"/>
          <w:szCs w:val="21"/>
        </w:rPr>
        <w:t>m²,</w:t>
      </w:r>
      <w:r>
        <w:rPr>
          <w:rFonts w:ascii="宋体" w:hAnsi="宋体" w:eastAsia="宋体" w:cs="宋体"/>
          <w:spacing w:val="2"/>
          <w:sz w:val="21"/>
          <w:szCs w:val="21"/>
        </w:rPr>
        <w:t>集2种</w:t>
      </w:r>
      <w:r>
        <w:rPr>
          <w:rFonts w:ascii="宋体" w:hAnsi="宋体" w:eastAsia="宋体" w:cs="宋体"/>
          <w:spacing w:val="5"/>
          <w:sz w:val="21"/>
          <w:szCs w:val="21"/>
        </w:rPr>
        <w:t>或2种以上功能于一体的单体公共建筑，及通过地下连片车库、</w:t>
      </w:r>
      <w:r>
        <w:rPr>
          <w:rFonts w:ascii="宋体" w:hAnsi="宋体" w:eastAsia="宋体" w:cs="宋体"/>
          <w:spacing w:val="-2"/>
          <w:sz w:val="21"/>
          <w:szCs w:val="21"/>
        </w:rPr>
        <w:t>地下连片商业空间、下沉式空间、连廊等方式连接的多栋公共建</w:t>
      </w:r>
      <w:r>
        <w:rPr>
          <w:rFonts w:ascii="宋体" w:hAnsi="宋体" w:eastAsia="宋体" w:cs="宋体"/>
          <w:spacing w:val="-1"/>
          <w:sz w:val="21"/>
          <w:szCs w:val="21"/>
        </w:rPr>
        <w:t>筑组合体。在计算城市综合体建筑面积时，不包含住宅</w:t>
      </w:r>
      <w:r>
        <w:rPr>
          <w:rFonts w:ascii="宋体" w:hAnsi="宋体" w:eastAsia="宋体" w:cs="宋体"/>
          <w:spacing w:val="-2"/>
          <w:sz w:val="21"/>
          <w:szCs w:val="21"/>
        </w:rPr>
        <w:t>、独立设置的办公建筑和地下车库部分。</w:t>
      </w:r>
    </w:p>
    <w:p>
      <w:pPr>
        <w:spacing w:before="22" w:line="273" w:lineRule="auto"/>
        <w:ind w:right="75" w:firstLine="544"/>
        <w:jc w:val="both"/>
        <w:rPr>
          <w:rFonts w:ascii="宋体" w:hAnsi="宋体" w:eastAsia="宋体" w:cs="宋体"/>
          <w:sz w:val="21"/>
          <w:szCs w:val="21"/>
        </w:rPr>
      </w:pPr>
      <w:r>
        <w:rPr>
          <w:rFonts w:ascii="宋体" w:hAnsi="宋体" w:eastAsia="宋体" w:cs="宋体"/>
          <w:spacing w:val="-2"/>
          <w:sz w:val="21"/>
          <w:szCs w:val="21"/>
        </w:rPr>
        <w:t>根据《上海市消防救援总队关于本市消防设施物联网系统联</w:t>
      </w:r>
      <w:r>
        <w:rPr>
          <w:rFonts w:ascii="宋体" w:hAnsi="宋体" w:eastAsia="宋体" w:cs="宋体"/>
          <w:spacing w:val="-8"/>
          <w:sz w:val="21"/>
          <w:szCs w:val="21"/>
        </w:rPr>
        <w:t>网工作的通知》(沪消发〔2021〕2号)的要求：“消防大数据应用平</w:t>
      </w:r>
      <w:r>
        <w:rPr>
          <w:rFonts w:ascii="宋体" w:hAnsi="宋体" w:eastAsia="宋体" w:cs="宋体"/>
          <w:spacing w:val="2"/>
          <w:sz w:val="21"/>
          <w:szCs w:val="21"/>
        </w:rPr>
        <w:t>台应优先接人本市大型商业综合体、超高层建筑消防物联</w:t>
      </w:r>
      <w:r>
        <w:rPr>
          <w:rFonts w:ascii="宋体" w:hAnsi="宋体" w:eastAsia="宋体" w:cs="宋体"/>
          <w:spacing w:val="1"/>
          <w:sz w:val="21"/>
          <w:szCs w:val="21"/>
        </w:rPr>
        <w:t>网系统</w:t>
      </w:r>
      <w:r>
        <w:rPr>
          <w:rFonts w:ascii="宋体" w:hAnsi="宋体" w:eastAsia="宋体" w:cs="宋体"/>
          <w:spacing w:val="-6"/>
          <w:sz w:val="21"/>
          <w:szCs w:val="21"/>
        </w:rPr>
        <w:t>数据。”为满足上述要求，应采用智能末端试水装置。智能末端试</w:t>
      </w:r>
      <w:r>
        <w:rPr>
          <w:rFonts w:ascii="宋体" w:hAnsi="宋体" w:eastAsia="宋体" w:cs="宋体"/>
          <w:spacing w:val="-5"/>
          <w:sz w:val="21"/>
          <w:szCs w:val="21"/>
        </w:rPr>
        <w:t>水装置由压力传感器、流量计算模块、中央处理器、电动阀、试水</w:t>
      </w:r>
      <w:r>
        <w:rPr>
          <w:rFonts w:ascii="宋体" w:hAnsi="宋体" w:eastAsia="宋体" w:cs="宋体"/>
          <w:spacing w:val="-6"/>
          <w:sz w:val="21"/>
          <w:szCs w:val="21"/>
        </w:rPr>
        <w:t>喷嘴、保护罩、压力表及信号处理模块组成，用于检测自动喷水灭</w:t>
      </w:r>
      <w:r>
        <w:rPr>
          <w:rFonts w:ascii="宋体" w:hAnsi="宋体" w:eastAsia="宋体" w:cs="宋体"/>
          <w:spacing w:val="2"/>
          <w:sz w:val="21"/>
          <w:szCs w:val="21"/>
        </w:rPr>
        <w:t>火系统末端压力，并可检验系统启动、报警及联动等。智能</w:t>
      </w:r>
      <w:r>
        <w:rPr>
          <w:rFonts w:ascii="宋体" w:hAnsi="宋体" w:eastAsia="宋体" w:cs="宋体"/>
          <w:spacing w:val="1"/>
          <w:sz w:val="21"/>
          <w:szCs w:val="21"/>
        </w:rPr>
        <w:t>末端</w:t>
      </w:r>
      <w:r>
        <w:rPr>
          <w:rFonts w:ascii="宋体" w:hAnsi="宋体" w:eastAsia="宋体" w:cs="宋体"/>
          <w:spacing w:val="2"/>
          <w:sz w:val="21"/>
          <w:szCs w:val="21"/>
        </w:rPr>
        <w:t>试水装置可实时显示所检测管道的工作压力、放水流量及阀门的开关状态，并可通过系统总线与监控主机保持实时通信，同时系统上可显示末端试水装置所在的位置信息，并满足现行国</w:t>
      </w:r>
      <w:r>
        <w:rPr>
          <w:rFonts w:ascii="宋体" w:hAnsi="宋体" w:eastAsia="宋体" w:cs="宋体"/>
          <w:spacing w:val="1"/>
          <w:sz w:val="21"/>
          <w:szCs w:val="21"/>
        </w:rPr>
        <w:t>家标准</w:t>
      </w:r>
      <w:r>
        <w:rPr>
          <w:rFonts w:ascii="宋体" w:hAnsi="宋体" w:eastAsia="宋体" w:cs="宋体"/>
          <w:spacing w:val="-2"/>
          <w:sz w:val="21"/>
          <w:szCs w:val="21"/>
        </w:rPr>
        <w:t>《自动喷水灭火系统第21部分：末端试水装置》GB5135.21的</w:t>
      </w:r>
      <w:r>
        <w:rPr>
          <w:rFonts w:ascii="宋体" w:hAnsi="宋体" w:eastAsia="宋体" w:cs="宋体"/>
          <w:spacing w:val="19"/>
          <w:sz w:val="21"/>
          <w:szCs w:val="21"/>
        </w:rPr>
        <w:t>相关要求。</w:t>
      </w:r>
    </w:p>
    <w:p>
      <w:pPr>
        <w:pStyle w:val="2"/>
        <w:spacing w:line="301" w:lineRule="auto"/>
      </w:pPr>
    </w:p>
    <w:p>
      <w:pPr>
        <w:spacing w:before="69" w:line="221" w:lineRule="auto"/>
        <w:ind w:left="2367"/>
        <w:rPr>
          <w:rFonts w:ascii="宋体" w:hAnsi="宋体" w:eastAsia="宋体" w:cs="宋体"/>
          <w:sz w:val="21"/>
          <w:szCs w:val="21"/>
        </w:rPr>
      </w:pPr>
      <w:r>
        <w:rPr>
          <w:rFonts w:ascii="宋体" w:hAnsi="宋体" w:eastAsia="宋体" w:cs="宋体"/>
          <w:b/>
          <w:bCs/>
          <w:spacing w:val="-5"/>
          <w:sz w:val="21"/>
          <w:szCs w:val="21"/>
        </w:rPr>
        <w:t>6.2设置要求</w:t>
      </w:r>
    </w:p>
    <w:p>
      <w:pPr>
        <w:pStyle w:val="2"/>
        <w:spacing w:line="320" w:lineRule="auto"/>
      </w:pPr>
    </w:p>
    <w:p>
      <w:pPr>
        <w:spacing w:before="69" w:line="260" w:lineRule="auto"/>
        <w:ind w:left="104"/>
        <w:rPr>
          <w:rFonts w:ascii="宋体" w:hAnsi="宋体" w:eastAsia="宋体" w:cs="宋体"/>
          <w:sz w:val="21"/>
          <w:szCs w:val="21"/>
        </w:rPr>
      </w:pPr>
      <w:r>
        <w:rPr>
          <w:rFonts w:ascii="宋体" w:hAnsi="宋体" w:eastAsia="宋体" w:cs="宋体"/>
          <w:spacing w:val="1"/>
          <w:sz w:val="21"/>
          <w:szCs w:val="21"/>
        </w:rPr>
        <w:t>6.2.1车架内喷头宜前后布置(图1、图2)。车架内每个车位的车头和车尾相对布置的边墙型喷头，可采用流量系数K80喷头。</w:t>
      </w:r>
      <w:r>
        <w:rPr>
          <w:rFonts w:ascii="宋体" w:hAnsi="宋体" w:eastAsia="宋体" w:cs="宋体"/>
          <w:spacing w:val="-4"/>
          <w:sz w:val="21"/>
          <w:szCs w:val="21"/>
        </w:rPr>
        <w:t>当只能在单侧布置时，应采用流量系数K115喷头。</w:t>
      </w:r>
    </w:p>
    <w:p>
      <w:pPr>
        <w:spacing w:before="60" w:line="261" w:lineRule="auto"/>
        <w:ind w:left="105" w:right="56"/>
        <w:rPr>
          <w:rFonts w:ascii="宋体" w:hAnsi="宋体" w:eastAsia="宋体" w:cs="宋体"/>
          <w:sz w:val="21"/>
          <w:szCs w:val="21"/>
        </w:rPr>
      </w:pPr>
      <w:r>
        <w:rPr>
          <w:rFonts w:ascii="宋体" w:hAnsi="宋体" w:eastAsia="宋体" w:cs="宋体"/>
          <w:spacing w:val="-11"/>
          <w:sz w:val="21"/>
          <w:szCs w:val="21"/>
        </w:rPr>
        <w:t>6.2.3设有喷淋的地下室排烟、排风、送风、空调等暖</w:t>
      </w:r>
      <w:r>
        <w:rPr>
          <w:rFonts w:ascii="宋体" w:hAnsi="宋体" w:eastAsia="宋体" w:cs="宋体"/>
          <w:spacing w:val="-12"/>
          <w:sz w:val="21"/>
          <w:szCs w:val="21"/>
        </w:rPr>
        <w:t>通机房，应</w:t>
      </w:r>
      <w:r>
        <w:rPr>
          <w:rFonts w:ascii="宋体" w:hAnsi="宋体" w:eastAsia="宋体" w:cs="宋体"/>
          <w:spacing w:val="-1"/>
          <w:sz w:val="21"/>
          <w:szCs w:val="21"/>
        </w:rPr>
        <w:t>设置自动喷水灭火系统。位于屋顶区域，独立设置的排烟机房内</w:t>
      </w:r>
      <w:r>
        <w:rPr>
          <w:rFonts w:ascii="宋体" w:hAnsi="宋体" w:eastAsia="宋体" w:cs="宋体"/>
          <w:spacing w:val="-2"/>
          <w:sz w:val="21"/>
          <w:szCs w:val="21"/>
        </w:rPr>
        <w:t>可不设置自动喷水灭火系统。</w:t>
      </w:r>
    </w:p>
    <w:p>
      <w:pPr>
        <w:spacing w:before="105" w:line="188" w:lineRule="auto"/>
        <w:ind w:left="104"/>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6.2.5</w:t>
      </w:r>
    </w:p>
    <w:p>
      <w:pPr>
        <w:spacing w:before="86" w:line="282" w:lineRule="auto"/>
        <w:ind w:left="105" w:right="51" w:firstLine="450"/>
        <w:rPr>
          <w:rFonts w:ascii="宋体" w:hAnsi="宋体" w:eastAsia="宋体" w:cs="宋体"/>
          <w:sz w:val="21"/>
          <w:szCs w:val="21"/>
        </w:rPr>
      </w:pPr>
      <w:r>
        <w:rPr>
          <w:rFonts w:ascii="宋体" w:hAnsi="宋体" w:eastAsia="宋体" w:cs="宋体"/>
          <w:spacing w:val="-10"/>
          <w:sz w:val="21"/>
          <w:szCs w:val="21"/>
        </w:rPr>
        <w:t>第2款厨房、蒸汽洗衣房、锅炉房、热交换机房</w:t>
      </w:r>
      <w:r>
        <w:rPr>
          <w:rFonts w:ascii="宋体" w:hAnsi="宋体" w:eastAsia="宋体" w:cs="宋体"/>
          <w:spacing w:val="-11"/>
          <w:sz w:val="21"/>
          <w:szCs w:val="21"/>
        </w:rPr>
        <w:t>、直燃机房</w:t>
      </w:r>
      <w:r>
        <w:rPr>
          <w:rFonts w:ascii="宋体" w:hAnsi="宋体" w:eastAsia="宋体" w:cs="宋体"/>
          <w:spacing w:val="-2"/>
          <w:sz w:val="21"/>
          <w:szCs w:val="21"/>
        </w:rPr>
        <w:t>等场所使用时环境温度较高，需要采用较高动作温度的喷头。例</w:t>
      </w:r>
    </w:p>
    <w:p>
      <w:pPr>
        <w:spacing w:line="282" w:lineRule="auto"/>
        <w:rPr>
          <w:rFonts w:ascii="宋体" w:hAnsi="宋体" w:eastAsia="宋体" w:cs="宋体"/>
          <w:sz w:val="21"/>
          <w:szCs w:val="21"/>
        </w:rPr>
        <w:sectPr>
          <w:footerReference r:id="rId106" w:type="default"/>
          <w:pgSz w:w="8280" w:h="11850"/>
          <w:pgMar w:top="400" w:right="1154" w:bottom="1350" w:left="1095" w:header="0" w:footer="1077" w:gutter="0"/>
          <w:cols w:space="720" w:num="1"/>
        </w:sectPr>
      </w:pPr>
    </w:p>
    <w:p>
      <w:pPr>
        <w:pStyle w:val="2"/>
        <w:spacing w:line="260" w:lineRule="auto"/>
      </w:pPr>
    </w:p>
    <w:p>
      <w:pPr>
        <w:pStyle w:val="2"/>
        <w:spacing w:line="261" w:lineRule="auto"/>
      </w:pPr>
    </w:p>
    <w:p>
      <w:pPr>
        <w:pStyle w:val="2"/>
        <w:spacing w:line="261" w:lineRule="auto"/>
      </w:pPr>
    </w:p>
    <w:p>
      <w:pPr>
        <w:pStyle w:val="2"/>
        <w:spacing w:line="261" w:lineRule="auto"/>
      </w:pPr>
    </w:p>
    <w:p>
      <w:pPr>
        <w:pStyle w:val="2"/>
        <w:spacing w:line="2570" w:lineRule="exact"/>
        <w:ind w:firstLine="379"/>
      </w:pPr>
      <w:r>
        <mc:AlternateContent>
          <mc:Choice Requires="wps">
            <w:drawing>
              <wp:anchor distT="0" distB="0" distL="0" distR="0" simplePos="0" relativeHeight="251667456" behindDoc="0" locked="0" layoutInCell="1" allowOverlap="1">
                <wp:simplePos x="0" y="0"/>
                <wp:positionH relativeFrom="column">
                  <wp:posOffset>1549400</wp:posOffset>
                </wp:positionH>
                <wp:positionV relativeFrom="paragraph">
                  <wp:posOffset>467995</wp:posOffset>
                </wp:positionV>
                <wp:extent cx="724535" cy="207645"/>
                <wp:effectExtent l="0" t="0" r="0" b="0"/>
                <wp:wrapNone/>
                <wp:docPr id="18" name="TextBox 18"/>
                <wp:cNvGraphicFramePr/>
                <a:graphic xmlns:a="http://schemas.openxmlformats.org/drawingml/2006/main">
                  <a:graphicData uri="http://schemas.microsoft.com/office/word/2010/wordprocessingShape">
                    <wps:wsp>
                      <wps:cNvSpPr txBox="1"/>
                      <wps:spPr>
                        <a:xfrm rot="16200000">
                          <a:off x="1549790" y="468007"/>
                          <a:ext cx="724534" cy="207645"/>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spacing w:before="70" w:line="236" w:lineRule="exact"/>
                              <w:ind w:left="20"/>
                              <w:rPr>
                                <w:rFonts w:ascii="宋体" w:hAnsi="宋体" w:eastAsia="宋体" w:cs="宋体"/>
                                <w:sz w:val="17"/>
                                <w:szCs w:val="17"/>
                              </w:rPr>
                            </w:pPr>
                            <w:r>
                              <w:rPr>
                                <w:rFonts w:ascii="宋体" w:hAnsi="宋体" w:eastAsia="宋体" w:cs="宋体"/>
                                <w:spacing w:val="-3"/>
                                <w:position w:val="1"/>
                                <w:sz w:val="13"/>
                                <w:szCs w:val="13"/>
                              </w:rPr>
                              <w:t>28002800</w:t>
                            </w:r>
                            <w:r>
                              <w:rPr>
                                <w:rFonts w:ascii="宋体" w:hAnsi="宋体" w:eastAsia="宋体" w:cs="宋体"/>
                                <w:spacing w:val="-3"/>
                                <w:position w:val="1"/>
                                <w:sz w:val="17"/>
                                <w:szCs w:val="17"/>
                              </w:rPr>
                              <w:t>1450</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8" o:spid="_x0000_s1026" o:spt="202" type="#_x0000_t202" style="position:absolute;left:0pt;margin-left:122pt;margin-top:36.85pt;height:16.35pt;width:57.05pt;rotation:-5898240f;z-index:251667456;mso-width-relative:page;mso-height-relative:page;" filled="f" stroked="f" coordsize="21600,21600" o:gfxdata="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eBmmXZAAAACgEAAA8A&#10;AAAAAAAAAQAgAAAAIgAAAGRycy9kb3ducmV2LnhtbFBLAQIUABQAAAAIAIdO4kCroGPuTwIAAKIE&#10;AAAOAAAAAAAAAAEAIAAAACgBAABkcnMvZTJvRG9jLnhtbFBLBQYAAAAABgAGAFkBAADpBQAAAAA=&#10;">
                <v:fill on="f" focussize="0,0"/>
                <v:stroke on="f" weight="0pt" miterlimit="0" joinstyle="miter"/>
                <v:imagedata o:title=""/>
                <o:lock v:ext="edit" aspectratio="f"/>
                <v:textbox inset="0mm,0mm,0mm,0mm">
                  <w:txbxContent>
                    <w:p>
                      <w:pPr>
                        <w:spacing w:before="70" w:line="236" w:lineRule="exact"/>
                        <w:ind w:left="20"/>
                        <w:rPr>
                          <w:rFonts w:ascii="宋体" w:hAnsi="宋体" w:eastAsia="宋体" w:cs="宋体"/>
                          <w:sz w:val="17"/>
                          <w:szCs w:val="17"/>
                        </w:rPr>
                      </w:pPr>
                      <w:r>
                        <w:rPr>
                          <w:rFonts w:ascii="宋体" w:hAnsi="宋体" w:eastAsia="宋体" w:cs="宋体"/>
                          <w:spacing w:val="-3"/>
                          <w:position w:val="1"/>
                          <w:sz w:val="13"/>
                          <w:szCs w:val="13"/>
                        </w:rPr>
                        <w:t>28002800</w:t>
                      </w:r>
                      <w:r>
                        <w:rPr>
                          <w:rFonts w:ascii="宋体" w:hAnsi="宋体" w:eastAsia="宋体" w:cs="宋体"/>
                          <w:spacing w:val="-3"/>
                          <w:position w:val="1"/>
                          <w:sz w:val="17"/>
                          <w:szCs w:val="17"/>
                        </w:rPr>
                        <w:t>1450</w:t>
                      </w:r>
                    </w:p>
                  </w:txbxContent>
                </v:textbox>
              </v:shape>
            </w:pict>
          </mc:Fallback>
        </mc:AlternateContent>
      </w:r>
      <w:r>
        <w:rPr>
          <w:position w:val="-51"/>
        </w:rPr>
        <w:pict>
          <v:group id="_x0000_s1026" o:spid="_x0000_s1026" o:spt="203" style="height:128.55pt;width:259.05pt;" coordsize="5180,2571">
            <o:lock v:ext="edit"/>
            <v:shape id="_x0000_s1027" o:spid="_x0000_s1027" o:spt="75" type="#_x0000_t75" style="position:absolute;left:0;top:0;height:2571;width:5180;" filled="f" stroked="f" coordsize="21600,21600">
              <v:path/>
              <v:fill on="f" focussize="0,0"/>
              <v:stroke on="f"/>
              <v:imagedata r:id="rId123" o:title=""/>
              <o:lock v:ext="edit" aspectratio="t"/>
            </v:shape>
            <v:shape id="_x0000_s1028" o:spid="_x0000_s1028" o:spt="202" type="#_x0000_t202" style="position:absolute;left:2250;top:7;height:2570;width:2218;" filled="f" stroked="f" coordsize="21600,21600">
              <v:path/>
              <v:fill on="f" focussize="0,0"/>
              <v:stroke on="f"/>
              <v:imagedata o:title=""/>
              <o:lock v:ext="edit" aspectratio="f"/>
              <v:textbox inset="0mm,0mm,0mm,0mm">
                <w:txbxContent>
                  <w:p>
                    <w:pPr>
                      <w:spacing w:before="20" w:line="222" w:lineRule="auto"/>
                      <w:ind w:left="69"/>
                      <w:rPr>
                        <w:rFonts w:ascii="Times New Roman" w:hAnsi="Times New Roman" w:eastAsia="Times New Roman" w:cs="Times New Roman"/>
                        <w:sz w:val="11"/>
                        <w:szCs w:val="11"/>
                      </w:rPr>
                    </w:pPr>
                    <w:r>
                      <w:rPr>
                        <w:rFonts w:ascii="Times New Roman" w:hAnsi="Times New Roman" w:eastAsia="Times New Roman" w:cs="Times New Roman"/>
                        <w:spacing w:val="-15"/>
                        <w:position w:val="-2"/>
                        <w:sz w:val="16"/>
                        <w:szCs w:val="16"/>
                      </w:rPr>
                      <w:t>90014001400</w:t>
                    </w:r>
                    <w:r>
                      <w:rPr>
                        <w:rFonts w:ascii="Times New Roman" w:hAnsi="Times New Roman" w:eastAsia="Times New Roman" w:cs="Times New Roman"/>
                        <w:spacing w:val="-1"/>
                        <w:position w:val="5"/>
                        <w:sz w:val="9"/>
                        <w:szCs w:val="9"/>
                      </w:rPr>
                      <w:t>2800</w:t>
                    </w:r>
                    <w:r>
                      <w:rPr>
                        <w:rFonts w:ascii="Times New Roman" w:hAnsi="Times New Roman" w:eastAsia="Times New Roman" w:cs="Times New Roman"/>
                        <w:spacing w:val="-1"/>
                        <w:position w:val="3"/>
                        <w:sz w:val="11"/>
                        <w:szCs w:val="11"/>
                      </w:rPr>
                      <w:t>90019002800</w:t>
                    </w:r>
                  </w:p>
                  <w:p>
                    <w:pPr>
                      <w:spacing w:line="285" w:lineRule="auto"/>
                      <w:rPr>
                        <w:rFonts w:ascii="Arial"/>
                        <w:sz w:val="21"/>
                      </w:rPr>
                    </w:pPr>
                  </w:p>
                  <w:p>
                    <w:pPr>
                      <w:spacing w:line="285" w:lineRule="auto"/>
                      <w:rPr>
                        <w:rFonts w:ascii="Arial"/>
                        <w:sz w:val="21"/>
                      </w:rPr>
                    </w:pPr>
                  </w:p>
                  <w:p>
                    <w:pPr>
                      <w:spacing w:line="286" w:lineRule="auto"/>
                      <w:rPr>
                        <w:rFonts w:ascii="Arial"/>
                        <w:sz w:val="21"/>
                      </w:rPr>
                    </w:pPr>
                  </w:p>
                  <w:p>
                    <w:pPr>
                      <w:spacing w:line="286" w:lineRule="auto"/>
                      <w:rPr>
                        <w:rFonts w:ascii="Arial"/>
                        <w:sz w:val="21"/>
                      </w:rPr>
                    </w:pPr>
                  </w:p>
                  <w:p>
                    <w:pPr>
                      <w:spacing w:before="31" w:line="197" w:lineRule="exact"/>
                      <w:ind w:left="258" w:right="1295" w:firstLine="401"/>
                    </w:pPr>
                    <w:r>
                      <w:rPr>
                        <w:rFonts w:ascii="Times New Roman" w:hAnsi="Times New Roman" w:eastAsia="Times New Roman" w:cs="Times New Roman"/>
                        <w:spacing w:val="-3"/>
                        <w:position w:val="8"/>
                        <w:sz w:val="11"/>
                        <w:szCs w:val="11"/>
                      </w:rPr>
                      <w:t>19600</w:t>
                    </w:r>
                    <w:r>
                      <w:rPr>
                        <w:position w:val="-18"/>
                      </w:rPr>
                      <w:drawing>
                        <wp:inline distT="0" distB="0" distL="0" distR="0">
                          <wp:extent cx="107315" cy="21209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24"/>
                                  <a:stretch>
                                    <a:fillRect/>
                                  </a:stretch>
                                </pic:blipFill>
                                <pic:spPr>
                                  <a:xfrm>
                                    <a:off x="0" y="0"/>
                                    <a:ext cx="107842" cy="212553"/>
                                  </a:xfrm>
                                  <a:prstGeom prst="rect">
                                    <a:avLst/>
                                  </a:prstGeom>
                                </pic:spPr>
                              </pic:pic>
                            </a:graphicData>
                          </a:graphic>
                        </wp:inline>
                      </w:drawing>
                    </w:r>
                  </w:p>
                  <w:p>
                    <w:pPr>
                      <w:spacing w:before="257" w:line="220" w:lineRule="auto"/>
                      <w:ind w:left="709"/>
                      <w:rPr>
                        <w:rFonts w:ascii="Times New Roman" w:hAnsi="Times New Roman" w:eastAsia="Times New Roman" w:cs="Times New Roman"/>
                        <w:sz w:val="11"/>
                        <w:szCs w:val="11"/>
                      </w:rPr>
                    </w:pPr>
                    <w:r>
                      <w:rPr>
                        <w:rFonts w:ascii="宋体" w:hAnsi="宋体" w:eastAsia="宋体" w:cs="宋体"/>
                        <w:spacing w:val="-6"/>
                        <w:sz w:val="11"/>
                        <w:szCs w:val="11"/>
                      </w:rPr>
                      <w:t>作用面164</w:t>
                    </w:r>
                    <w:r>
                      <w:rPr>
                        <w:rFonts w:ascii="Times New Roman" w:hAnsi="Times New Roman" w:eastAsia="Times New Roman" w:cs="Times New Roman"/>
                        <w:spacing w:val="-6"/>
                        <w:sz w:val="11"/>
                        <w:szCs w:val="11"/>
                      </w:rPr>
                      <w:t>m²</w:t>
                    </w:r>
                  </w:p>
                  <w:p>
                    <w:pPr>
                      <w:spacing w:line="241" w:lineRule="auto"/>
                      <w:rPr>
                        <w:rFonts w:ascii="Arial"/>
                        <w:sz w:val="21"/>
                      </w:rPr>
                    </w:pPr>
                  </w:p>
                  <w:p>
                    <w:pPr>
                      <w:spacing w:before="36" w:line="223" w:lineRule="auto"/>
                      <w:ind w:left="20"/>
                      <w:rPr>
                        <w:rFonts w:ascii="黑体" w:hAnsi="黑体" w:eastAsia="黑体" w:cs="黑体"/>
                        <w:sz w:val="11"/>
                        <w:szCs w:val="11"/>
                      </w:rPr>
                    </w:pPr>
                    <w:r>
                      <w:rPr>
                        <w:rFonts w:ascii="黑体" w:hAnsi="黑体" w:eastAsia="黑体" w:cs="黑体"/>
                        <w:spacing w:val="6"/>
                        <w:sz w:val="11"/>
                        <w:szCs w:val="11"/>
                      </w:rPr>
                      <w:t>自喷干管</w:t>
                    </w:r>
                  </w:p>
                </w:txbxContent>
              </v:textbox>
            </v:shape>
            <v:shape id="_x0000_s1029" o:spid="_x0000_s1029" o:spt="202" type="#_x0000_t202" style="position:absolute;left:1610;top:13;height:116;width:668;" filled="f" stroked="f" coordsize="21600,21600">
              <v:path/>
              <v:fill on="f" focussize="0,0"/>
              <v:stroke on="f"/>
              <v:imagedata o:title=""/>
              <o:lock v:ext="edit" aspectratio="f"/>
              <v:textbox inset="0mm,0mm,0mm,0mm">
                <w:txbxContent>
                  <w:p>
                    <w:pPr>
                      <w:spacing w:before="20" w:line="188" w:lineRule="auto"/>
                      <w:ind w:left="20"/>
                      <w:rPr>
                        <w:rFonts w:ascii="Times New Roman" w:hAnsi="Times New Roman" w:eastAsia="Times New Roman" w:cs="Times New Roman"/>
                        <w:sz w:val="11"/>
                        <w:szCs w:val="11"/>
                      </w:rPr>
                    </w:pPr>
                    <w:r>
                      <w:rPr>
                        <w:rFonts w:ascii="Times New Roman" w:hAnsi="Times New Roman" w:eastAsia="Times New Roman" w:cs="Times New Roman"/>
                        <w:spacing w:val="-2"/>
                        <w:sz w:val="11"/>
                        <w:szCs w:val="11"/>
                      </w:rPr>
                      <w:t>28001900</w:t>
                    </w:r>
                  </w:p>
                </w:txbxContent>
              </v:textbox>
            </v:shape>
            <v:shape id="_x0000_s1030" o:spid="_x0000_s1030" o:spt="202" type="#_x0000_t202" style="position:absolute;left:4549;top:38;height:151;width:306;" filled="f" stroked="f" coordsize="21600,21600">
              <v:path/>
              <v:fill on="f" focussize="0,0"/>
              <v:stroke on="f"/>
              <v:imagedata o:title=""/>
              <o:lock v:ext="edit" aspectratio="f"/>
              <v:textbox inset="0mm,0mm,0mm,0mm">
                <w:txbxContent>
                  <w:p>
                    <w:pPr>
                      <w:spacing w:before="20" w:line="188" w:lineRule="auto"/>
                      <w:ind w:left="20"/>
                      <w:rPr>
                        <w:rFonts w:ascii="Times New Roman" w:hAnsi="Times New Roman" w:eastAsia="Times New Roman" w:cs="Times New Roman"/>
                        <w:sz w:val="16"/>
                        <w:szCs w:val="16"/>
                      </w:rPr>
                    </w:pPr>
                    <w:r>
                      <w:rPr>
                        <w:rFonts w:ascii="Times New Roman" w:hAnsi="Times New Roman" w:eastAsia="Times New Roman" w:cs="Times New Roman"/>
                        <w:spacing w:val="-11"/>
                        <w:sz w:val="16"/>
                        <w:szCs w:val="16"/>
                      </w:rPr>
                      <w:t>1100</w:t>
                    </w:r>
                  </w:p>
                </w:txbxContent>
              </v:textbox>
            </v:shape>
            <v:shape id="_x0000_s1031" o:spid="_x0000_s1031" o:spt="202" type="#_x0000_t202" style="position:absolute;left:1240;top:38;height:151;width:285;" filled="f" stroked="f" coordsize="21600,21600">
              <v:path/>
              <v:fill on="f" focussize="0,0"/>
              <v:stroke on="f"/>
              <v:imagedata o:title=""/>
              <o:lock v:ext="edit" aspectratio="f"/>
              <v:textbox inset="0mm,0mm,0mm,0mm">
                <w:txbxContent>
                  <w:p>
                    <w:pPr>
                      <w:spacing w:before="20" w:line="188" w:lineRule="auto"/>
                      <w:ind w:right="1"/>
                      <w:jc w:val="right"/>
                      <w:rPr>
                        <w:rFonts w:ascii="Times New Roman" w:hAnsi="Times New Roman" w:eastAsia="Times New Roman" w:cs="Times New Roman"/>
                        <w:sz w:val="16"/>
                        <w:szCs w:val="16"/>
                      </w:rPr>
                    </w:pPr>
                    <w:r>
                      <w:rPr>
                        <w:rFonts w:ascii="Times New Roman" w:hAnsi="Times New Roman" w:eastAsia="Times New Roman" w:cs="Times New Roman"/>
                        <w:spacing w:val="-18"/>
                        <w:sz w:val="16"/>
                        <w:szCs w:val="16"/>
                      </w:rPr>
                      <w:t>11</w:t>
                    </w:r>
                    <w:r>
                      <w:rPr>
                        <w:rFonts w:ascii="Times New Roman" w:hAnsi="Times New Roman" w:eastAsia="Times New Roman" w:cs="Times New Roman"/>
                        <w:spacing w:val="-17"/>
                        <w:sz w:val="16"/>
                        <w:szCs w:val="16"/>
                      </w:rPr>
                      <w:t>0</w:t>
                    </w:r>
                    <w:r>
                      <w:rPr>
                        <w:rFonts w:ascii="Times New Roman" w:hAnsi="Times New Roman" w:eastAsia="Times New Roman" w:cs="Times New Roman"/>
                        <w:spacing w:val="-7"/>
                        <w:sz w:val="16"/>
                        <w:szCs w:val="16"/>
                      </w:rPr>
                      <w:t>0</w:t>
                    </w:r>
                  </w:p>
                </w:txbxContent>
              </v:textbox>
            </v:shape>
            <v:shape id="_x0000_s1032" o:spid="_x0000_s1032" o:spt="202" type="#_x0000_t202" style="position:absolute;left:4992;top:949;height:370;width:65;" filled="f" stroked="f" coordsize="21600,21600">
              <v:path/>
              <v:fill on="f" focussize="0,0"/>
              <v:stroke on="f"/>
              <v:imagedata o:title=""/>
              <o:lock v:ext="edit" aspectratio="f"/>
              <v:textbox inset="0mm,0mm,0mm,0mm" style="layout-flow:vertical-ideographic;">
                <w:txbxContent>
                  <w:p>
                    <w:pPr>
                      <w:spacing w:before="20" w:line="44" w:lineRule="exact"/>
                      <w:ind w:left="20"/>
                      <w:rPr>
                        <w:rFonts w:ascii="宋体" w:hAnsi="宋体" w:eastAsia="宋体" w:cs="宋体"/>
                        <w:sz w:val="6"/>
                        <w:szCs w:val="6"/>
                      </w:rPr>
                    </w:pPr>
                    <w:r>
                      <w:rPr>
                        <w:rFonts w:ascii="宋体" w:hAnsi="宋体" w:eastAsia="宋体" w:cs="宋体"/>
                        <w:spacing w:val="14"/>
                        <w:w w:val="127"/>
                        <w:position w:val="-1"/>
                        <w:sz w:val="6"/>
                        <w:szCs w:val="6"/>
                      </w:rPr>
                      <w:t>0048</w:t>
                    </w:r>
                  </w:p>
                </w:txbxContent>
              </v:textbox>
            </v:shape>
            <w10:wrap type="none"/>
            <w10:anchorlock/>
          </v:group>
        </w:pict>
      </w:r>
    </w:p>
    <w:p>
      <w:pPr>
        <w:spacing w:before="123" w:line="221" w:lineRule="auto"/>
        <w:ind w:left="1732"/>
        <w:rPr>
          <w:rFonts w:ascii="黑体" w:hAnsi="黑体" w:eastAsia="黑体" w:cs="黑体"/>
          <w:sz w:val="20"/>
          <w:szCs w:val="20"/>
        </w:rPr>
      </w:pPr>
      <w:r>
        <w:rPr>
          <w:rFonts w:ascii="黑体" w:hAnsi="黑体" w:eastAsia="黑体" w:cs="黑体"/>
          <w:b/>
          <w:bCs/>
          <w:spacing w:val="-20"/>
          <w:sz w:val="20"/>
          <w:szCs w:val="20"/>
        </w:rPr>
        <w:t>图1一层车架自喷布置平面图</w:t>
      </w:r>
    </w:p>
    <w:p>
      <w:pPr>
        <w:pStyle w:val="2"/>
        <w:spacing w:line="354" w:lineRule="auto"/>
      </w:pPr>
    </w:p>
    <w:p>
      <w:pPr>
        <w:spacing w:line="2690" w:lineRule="exact"/>
        <w:ind w:firstLine="639"/>
      </w:pPr>
      <w:r>
        <mc:AlternateContent>
          <mc:Choice Requires="wps">
            <w:drawing>
              <wp:anchor distT="0" distB="0" distL="0" distR="0" simplePos="0" relativeHeight="251666432" behindDoc="0" locked="0" layoutInCell="1" allowOverlap="1">
                <wp:simplePos x="0" y="0"/>
                <wp:positionH relativeFrom="column">
                  <wp:posOffset>79375</wp:posOffset>
                </wp:positionH>
                <wp:positionV relativeFrom="paragraph">
                  <wp:posOffset>545465</wp:posOffset>
                </wp:positionV>
                <wp:extent cx="791210" cy="163830"/>
                <wp:effectExtent l="0" t="0" r="0" b="0"/>
                <wp:wrapNone/>
                <wp:docPr id="22" name="TextBox 22"/>
                <wp:cNvGraphicFramePr/>
                <a:graphic xmlns:a="http://schemas.openxmlformats.org/drawingml/2006/main">
                  <a:graphicData uri="http://schemas.microsoft.com/office/word/2010/wordprocessingShape">
                    <wps:wsp>
                      <wps:cNvSpPr txBox="1"/>
                      <wps:spPr>
                        <a:xfrm rot="16200000">
                          <a:off x="79737" y="545767"/>
                          <a:ext cx="791209" cy="163829"/>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spacing w:before="58" w:line="179" w:lineRule="exact"/>
                              <w:ind w:left="20"/>
                              <w:rPr>
                                <w:rFonts w:ascii="宋体" w:hAnsi="宋体" w:eastAsia="宋体" w:cs="宋体"/>
                                <w:sz w:val="13"/>
                                <w:szCs w:val="13"/>
                              </w:rPr>
                            </w:pPr>
                            <w:r>
                              <w:rPr>
                                <w:rFonts w:ascii="宋体" w:hAnsi="宋体" w:eastAsia="宋体" w:cs="宋体"/>
                                <w:spacing w:val="-3"/>
                                <w:position w:val="1"/>
                                <w:sz w:val="13"/>
                                <w:szCs w:val="13"/>
                              </w:rPr>
                              <w:t>39001000</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2" o:spid="_x0000_s1026" o:spt="202" type="#_x0000_t202" style="position:absolute;left:0pt;margin-left:6.25pt;margin-top:42.95pt;height:12.9pt;width:62.3pt;rotation:-5898240f;z-index:251666432;mso-width-relative:page;mso-height-relative:page;" filled="f" stroked="f" coordsize="21600,21600" o:gfxdata="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t+KlvXAAAACQEAAA8AAAAA&#10;AAAAAQAgAAAAIgAAAGRycy9kb3ducmV2LnhtbFBLAQIUABQAAAAIAIdO4kB0PWFcTgIAAKAEAAAO&#10;AAAAAAAAAAEAIAAAACYBAABkcnMvZTJvRG9jLnhtbFBLBQYAAAAABgAGAFkBAADmBQAAAAA=&#10;">
                <v:fill on="f" focussize="0,0"/>
                <v:stroke on="f" weight="0pt" miterlimit="0" joinstyle="miter"/>
                <v:imagedata o:title=""/>
                <o:lock v:ext="edit" aspectratio="f"/>
                <v:textbox inset="0mm,0mm,0mm,0mm">
                  <w:txbxContent>
                    <w:p>
                      <w:pPr>
                        <w:spacing w:before="58" w:line="179" w:lineRule="exact"/>
                        <w:ind w:left="20"/>
                        <w:rPr>
                          <w:rFonts w:ascii="宋体" w:hAnsi="宋体" w:eastAsia="宋体" w:cs="宋体"/>
                          <w:sz w:val="13"/>
                          <w:szCs w:val="13"/>
                        </w:rPr>
                      </w:pPr>
                      <w:r>
                        <w:rPr>
                          <w:rFonts w:ascii="宋体" w:hAnsi="宋体" w:eastAsia="宋体" w:cs="宋体"/>
                          <w:spacing w:val="-3"/>
                          <w:position w:val="1"/>
                          <w:sz w:val="13"/>
                          <w:szCs w:val="13"/>
                        </w:rPr>
                        <w:t>39001000</w:t>
                      </w:r>
                    </w:p>
                  </w:txbxContent>
                </v:textbox>
              </v:shape>
            </w:pict>
          </mc:Fallback>
        </mc:AlternateContent>
      </w:r>
      <w:r>
        <mc:AlternateContent>
          <mc:Choice Requires="wps">
            <w:drawing>
              <wp:anchor distT="0" distB="0" distL="0" distR="0" simplePos="0" relativeHeight="251665408" behindDoc="0" locked="0" layoutInCell="1" allowOverlap="1">
                <wp:simplePos x="0" y="0"/>
                <wp:positionH relativeFrom="column">
                  <wp:posOffset>2516505</wp:posOffset>
                </wp:positionH>
                <wp:positionV relativeFrom="paragraph">
                  <wp:posOffset>607060</wp:posOffset>
                </wp:positionV>
                <wp:extent cx="1372235" cy="170180"/>
                <wp:effectExtent l="0" t="0" r="0" b="0"/>
                <wp:wrapNone/>
                <wp:docPr id="24" name="TextBox 24"/>
                <wp:cNvGraphicFramePr/>
                <a:graphic xmlns:a="http://schemas.openxmlformats.org/drawingml/2006/main">
                  <a:graphicData uri="http://schemas.microsoft.com/office/word/2010/wordprocessingShape">
                    <wps:wsp>
                      <wps:cNvSpPr txBox="1"/>
                      <wps:spPr>
                        <a:xfrm rot="16200000">
                          <a:off x="2516563" y="607657"/>
                          <a:ext cx="1372235" cy="170179"/>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spacing w:before="58" w:line="189" w:lineRule="exact"/>
                              <w:ind w:left="20"/>
                              <w:rPr>
                                <w:rFonts w:ascii="宋体" w:hAnsi="宋体" w:eastAsia="宋体" w:cs="宋体"/>
                                <w:sz w:val="13"/>
                                <w:szCs w:val="13"/>
                              </w:rPr>
                            </w:pPr>
                            <w:r>
                              <w:rPr>
                                <w:rFonts w:ascii="宋体" w:hAnsi="宋体" w:eastAsia="宋体" w:cs="宋体"/>
                                <w:spacing w:val="-3"/>
                                <w:position w:val="1"/>
                                <w:sz w:val="13"/>
                                <w:szCs w:val="13"/>
                              </w:rPr>
                              <w:t>18001950850150</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24" o:spid="_x0000_s1026" o:spt="202" type="#_x0000_t202" style="position:absolute;left:0pt;margin-left:198.15pt;margin-top:47.8pt;height:13.4pt;width:108.05pt;rotation:-5898240f;z-index:251665408;mso-width-relative:page;mso-height-relative:page;" filled="f" stroked="f" coordsize="21600,21600" o:gfxdata="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fX9qDdkAAAAKAQAA&#10;DwAAAAAAAAABACAAAAAiAAAAZHJzL2Rvd25yZXYueG1sUEsBAhQAFAAAAAgAh07iQHtRVoRRAgAA&#10;owQAAA4AAAAAAAAAAQAgAAAAKAEAAGRycy9lMm9Eb2MueG1sUEsFBgAAAAAGAAYAWQEAAOsFAAAA&#10;AA==&#10;">
                <v:fill on="f" focussize="0,0"/>
                <v:stroke on="f" weight="0pt" miterlimit="0" joinstyle="miter"/>
                <v:imagedata o:title=""/>
                <o:lock v:ext="edit" aspectratio="f"/>
                <v:textbox inset="0mm,0mm,0mm,0mm">
                  <w:txbxContent>
                    <w:p>
                      <w:pPr>
                        <w:spacing w:before="58" w:line="189" w:lineRule="exact"/>
                        <w:ind w:left="20"/>
                        <w:rPr>
                          <w:rFonts w:ascii="宋体" w:hAnsi="宋体" w:eastAsia="宋体" w:cs="宋体"/>
                          <w:sz w:val="13"/>
                          <w:szCs w:val="13"/>
                        </w:rPr>
                      </w:pPr>
                      <w:r>
                        <w:rPr>
                          <w:rFonts w:ascii="宋体" w:hAnsi="宋体" w:eastAsia="宋体" w:cs="宋体"/>
                          <w:spacing w:val="-3"/>
                          <w:position w:val="1"/>
                          <w:sz w:val="13"/>
                          <w:szCs w:val="13"/>
                        </w:rPr>
                        <w:t>18001950850150</w:t>
                      </w:r>
                    </w:p>
                  </w:txbxContent>
                </v:textbox>
              </v:shape>
            </w:pict>
          </mc:Fallback>
        </mc:AlternateContent>
      </w:r>
      <w:r>
        <w:rPr>
          <w:position w:val="-53"/>
        </w:rPr>
        <w:pict>
          <v:group id="_x0000_s1033" o:spid="_x0000_s1033" o:spt="203" style="height:134.5pt;width:231.55pt;" coordsize="4631,2690">
            <o:lock v:ext="edit"/>
            <v:shape id="_x0000_s1034" o:spid="_x0000_s1034" o:spt="75" type="#_x0000_t75" style="position:absolute;left:0;top:0;height:2690;width:4631;" filled="f" stroked="f" coordsize="21600,21600">
              <v:path/>
              <v:fill on="f" focussize="0,0"/>
              <v:stroke on="f"/>
              <v:imagedata r:id="rId125" o:title=""/>
              <o:lock v:ext="edit" aspectratio="t"/>
            </v:shape>
            <v:shape id="_x0000_s1035" o:spid="_x0000_s1035" o:spt="202" type="#_x0000_t202" style="position:absolute;left:1379;top:1237;height:320;width:1546;" filled="f" stroked="f" coordsize="21600,21600">
              <v:path/>
              <v:fill on="f" focussize="0,0"/>
              <v:stroke on="f"/>
              <v:imagedata o:title=""/>
              <o:lock v:ext="edit" aspectratio="f"/>
              <v:textbox inset="0mm,0mm,0mm,0mm">
                <w:txbxContent>
                  <w:p>
                    <w:pPr>
                      <w:spacing w:before="19" w:line="237" w:lineRule="auto"/>
                      <w:jc w:val="right"/>
                      <w:rPr>
                        <w:rFonts w:ascii="宋体" w:hAnsi="宋体" w:eastAsia="宋体" w:cs="宋体"/>
                        <w:sz w:val="28"/>
                        <w:szCs w:val="28"/>
                      </w:rPr>
                    </w:pPr>
                    <w:r>
                      <w:rPr>
                        <w:rFonts w:ascii="宋体" w:hAnsi="宋体" w:eastAsia="宋体" w:cs="宋体"/>
                        <w:spacing w:val="-35"/>
                        <w:sz w:val="28"/>
                        <w:szCs w:val="28"/>
                      </w:rPr>
                      <w:t>◎◎</w:t>
                    </w:r>
                  </w:p>
                </w:txbxContent>
              </v:textbox>
            </v:shape>
            <w10:wrap type="none"/>
            <w10:anchorlock/>
          </v:group>
        </w:pict>
      </w:r>
    </w:p>
    <w:p>
      <w:pPr>
        <w:spacing w:before="93" w:line="221" w:lineRule="auto"/>
        <w:ind w:left="1722"/>
        <w:rPr>
          <w:rFonts w:ascii="黑体" w:hAnsi="黑体" w:eastAsia="黑体" w:cs="黑体"/>
          <w:sz w:val="20"/>
          <w:szCs w:val="20"/>
        </w:rPr>
      </w:pPr>
      <w:r>
        <w:rPr>
          <w:rFonts w:ascii="黑体" w:hAnsi="黑体" w:eastAsia="黑体" w:cs="黑体"/>
          <w:b/>
          <w:bCs/>
          <w:spacing w:val="-16"/>
          <w:sz w:val="20"/>
          <w:szCs w:val="20"/>
        </w:rPr>
        <w:t>图2一层车架自喷安装示意图</w:t>
      </w:r>
    </w:p>
    <w:p>
      <w:pPr>
        <w:spacing w:before="215" w:line="291" w:lineRule="auto"/>
        <w:rPr>
          <w:rFonts w:ascii="宋体" w:hAnsi="宋体" w:eastAsia="宋体" w:cs="宋体"/>
          <w:sz w:val="20"/>
          <w:szCs w:val="20"/>
        </w:rPr>
      </w:pPr>
      <w:r>
        <w:rPr>
          <w:rFonts w:ascii="宋体" w:hAnsi="宋体" w:eastAsia="宋体" w:cs="宋体"/>
          <w:spacing w:val="2"/>
          <w:sz w:val="20"/>
          <w:szCs w:val="20"/>
        </w:rPr>
        <w:t>如，提供蒸汽的洗衣房等在实际使用时，局部环境温度较高，使用</w:t>
      </w:r>
      <w:r>
        <w:rPr>
          <w:rFonts w:ascii="宋体" w:hAnsi="宋体" w:eastAsia="宋体" w:cs="宋体"/>
          <w:spacing w:val="10"/>
          <w:sz w:val="20"/>
          <w:szCs w:val="20"/>
        </w:rPr>
        <w:t>的68℃喷头有误动作的实际案例。</w:t>
      </w:r>
    </w:p>
    <w:p>
      <w:pPr>
        <w:spacing w:line="289" w:lineRule="auto"/>
        <w:ind w:right="14" w:firstLine="429"/>
        <w:jc w:val="both"/>
        <w:rPr>
          <w:rFonts w:ascii="宋体" w:hAnsi="宋体" w:eastAsia="宋体" w:cs="宋体"/>
          <w:sz w:val="20"/>
          <w:szCs w:val="20"/>
        </w:rPr>
      </w:pPr>
      <w:r>
        <w:rPr>
          <w:rFonts w:ascii="宋体" w:hAnsi="宋体" w:eastAsia="宋体" w:cs="宋体"/>
          <w:spacing w:val="6"/>
          <w:sz w:val="20"/>
          <w:szCs w:val="20"/>
        </w:rPr>
        <w:t>第4款根据上海某项目经验，汽车库人口在上海冬季极端</w:t>
      </w:r>
      <w:r>
        <w:rPr>
          <w:rFonts w:ascii="宋体" w:hAnsi="宋体" w:eastAsia="宋体" w:cs="宋体"/>
          <w:spacing w:val="7"/>
          <w:sz w:val="20"/>
          <w:szCs w:val="20"/>
        </w:rPr>
        <w:t>天气情况条件下，30m以内有结冻风险。该范围内的喷淋管道应</w:t>
      </w:r>
      <w:r>
        <w:rPr>
          <w:rFonts w:ascii="宋体" w:hAnsi="宋体" w:eastAsia="宋体" w:cs="宋体"/>
          <w:spacing w:val="2"/>
          <w:sz w:val="20"/>
          <w:szCs w:val="20"/>
        </w:rPr>
        <w:t>采取保温措施，宜采用易熔金属喷头。</w:t>
      </w:r>
    </w:p>
    <w:p>
      <w:pPr>
        <w:spacing w:before="2" w:line="295" w:lineRule="auto"/>
        <w:ind w:right="2"/>
        <w:jc w:val="both"/>
        <w:rPr>
          <w:rFonts w:ascii="宋体" w:hAnsi="宋体" w:eastAsia="宋体" w:cs="宋体"/>
          <w:sz w:val="20"/>
          <w:szCs w:val="20"/>
        </w:rPr>
      </w:pPr>
      <w:r>
        <w:rPr>
          <w:rFonts w:ascii="宋体" w:hAnsi="宋体" w:eastAsia="宋体" w:cs="宋体"/>
          <w:spacing w:val="11"/>
          <w:sz w:val="20"/>
          <w:szCs w:val="20"/>
        </w:rPr>
        <w:t>6.2.6本条规定了快速响应洒水喷头的使用条件。快速响应洒</w:t>
      </w:r>
      <w:r>
        <w:rPr>
          <w:rFonts w:ascii="宋体" w:hAnsi="宋体" w:eastAsia="宋体" w:cs="宋体"/>
          <w:spacing w:val="9"/>
          <w:sz w:val="20"/>
          <w:szCs w:val="20"/>
        </w:rPr>
        <w:t>水喷头的优势在于热敏性能明显高于标准响应喷头，可在火场中</w:t>
      </w:r>
      <w:r>
        <w:rPr>
          <w:rFonts w:ascii="宋体" w:hAnsi="宋体" w:eastAsia="宋体" w:cs="宋体"/>
          <w:spacing w:val="2"/>
          <w:sz w:val="20"/>
          <w:szCs w:val="20"/>
        </w:rPr>
        <w:t>提前动作，在初起小火阶段开始喷水，可以做到灭火迅速，最大限</w:t>
      </w:r>
    </w:p>
    <w:p>
      <w:pPr>
        <w:spacing w:line="295" w:lineRule="auto"/>
        <w:rPr>
          <w:rFonts w:ascii="宋体" w:hAnsi="宋体" w:eastAsia="宋体" w:cs="宋体"/>
          <w:sz w:val="20"/>
          <w:szCs w:val="20"/>
        </w:rPr>
        <w:sectPr>
          <w:footerReference r:id="rId107" w:type="default"/>
          <w:pgSz w:w="8280" w:h="11850"/>
          <w:pgMar w:top="400" w:right="1205" w:bottom="1331" w:left="1200" w:header="0" w:footer="1072" w:gutter="0"/>
          <w:cols w:space="720" w:num="1"/>
        </w:sectPr>
      </w:pPr>
    </w:p>
    <w:p>
      <w:pPr>
        <w:pStyle w:val="2"/>
        <w:spacing w:line="278" w:lineRule="auto"/>
      </w:pPr>
    </w:p>
    <w:p>
      <w:pPr>
        <w:pStyle w:val="2"/>
        <w:spacing w:line="279" w:lineRule="auto"/>
      </w:pPr>
    </w:p>
    <w:p>
      <w:pPr>
        <w:pStyle w:val="2"/>
        <w:spacing w:line="279" w:lineRule="auto"/>
      </w:pPr>
    </w:p>
    <w:p>
      <w:pPr>
        <w:spacing w:before="68" w:line="273" w:lineRule="auto"/>
        <w:ind w:right="8"/>
        <w:jc w:val="both"/>
        <w:rPr>
          <w:rFonts w:ascii="宋体" w:hAnsi="宋体" w:eastAsia="宋体" w:cs="宋体"/>
          <w:sz w:val="21"/>
          <w:szCs w:val="21"/>
        </w:rPr>
      </w:pPr>
      <w:r>
        <w:rPr>
          <w:rFonts w:ascii="宋体" w:hAnsi="宋体" w:eastAsia="宋体" w:cs="宋体"/>
          <w:sz w:val="21"/>
          <w:szCs w:val="21"/>
        </w:rPr>
        <w:t>度减少人员伤亡和火灾损失。一般应用于人员密集、扑救困难、</w:t>
      </w:r>
      <w:r>
        <w:rPr>
          <w:rFonts w:ascii="宋体" w:hAnsi="宋体" w:eastAsia="宋体" w:cs="宋体"/>
          <w:spacing w:val="6"/>
          <w:sz w:val="21"/>
          <w:szCs w:val="21"/>
        </w:rPr>
        <w:t>火灾危险性大的高大空间以及老弱病等弱势群体居住活动区域</w:t>
      </w:r>
      <w:r>
        <w:rPr>
          <w:rFonts w:ascii="宋体" w:hAnsi="宋体" w:eastAsia="宋体" w:cs="宋体"/>
          <w:spacing w:val="-6"/>
          <w:sz w:val="21"/>
          <w:szCs w:val="21"/>
        </w:rPr>
        <w:t>等。采用快速响应喷头，均应为湿式灭火系统。</w:t>
      </w:r>
    </w:p>
    <w:p>
      <w:pPr>
        <w:spacing w:before="18" w:line="273" w:lineRule="auto"/>
        <w:ind w:right="97" w:firstLine="419"/>
        <w:jc w:val="both"/>
        <w:rPr>
          <w:rFonts w:ascii="宋体" w:hAnsi="宋体" w:eastAsia="宋体" w:cs="宋体"/>
          <w:sz w:val="21"/>
          <w:szCs w:val="21"/>
        </w:rPr>
      </w:pPr>
      <w:r>
        <w:rPr>
          <w:rFonts w:ascii="宋体" w:hAnsi="宋体" w:eastAsia="宋体" w:cs="宋体"/>
          <w:spacing w:val="10"/>
          <w:sz w:val="21"/>
          <w:szCs w:val="21"/>
        </w:rPr>
        <w:t>根据现行国家标准《人员密集场所消防安全管理》</w:t>
      </w:r>
      <w:r>
        <w:rPr>
          <w:rFonts w:ascii="Times New Roman" w:hAnsi="Times New Roman" w:eastAsia="Times New Roman" w:cs="Times New Roman"/>
          <w:sz w:val="21"/>
          <w:szCs w:val="21"/>
        </w:rPr>
        <w:t>GB</w:t>
      </w:r>
      <w:r>
        <w:rPr>
          <w:rFonts w:ascii="Times New Roman" w:hAnsi="Times New Roman" w:eastAsia="Times New Roman" w:cs="Times New Roman"/>
          <w:spacing w:val="10"/>
          <w:sz w:val="21"/>
          <w:szCs w:val="21"/>
        </w:rPr>
        <w:t>/T</w:t>
      </w:r>
      <w:r>
        <w:rPr>
          <w:rFonts w:ascii="宋体" w:hAnsi="宋体" w:eastAsia="宋体" w:cs="宋体"/>
          <w:spacing w:val="-5"/>
          <w:sz w:val="21"/>
          <w:szCs w:val="21"/>
        </w:rPr>
        <w:t>40248的规定，人员密集场所是指人员聚集的室内场所，包括公众</w:t>
      </w:r>
      <w:r>
        <w:rPr>
          <w:rFonts w:ascii="宋体" w:hAnsi="宋体" w:eastAsia="宋体" w:cs="宋体"/>
          <w:spacing w:val="-15"/>
          <w:sz w:val="21"/>
          <w:szCs w:val="21"/>
        </w:rPr>
        <w:t>聚集场所，医院的门诊楼、病房楼，学校的教学楼、图书馆、食堂和</w:t>
      </w:r>
      <w:r>
        <w:rPr>
          <w:rFonts w:ascii="宋体" w:hAnsi="宋体" w:eastAsia="宋体" w:cs="宋体"/>
          <w:spacing w:val="-8"/>
          <w:sz w:val="21"/>
          <w:szCs w:val="21"/>
        </w:rPr>
        <w:t>集体宿舍，养老院，福利院，托儿所，幼儿园</w:t>
      </w:r>
      <w:r>
        <w:rPr>
          <w:rFonts w:ascii="宋体" w:hAnsi="宋体" w:eastAsia="宋体" w:cs="宋体"/>
          <w:spacing w:val="-9"/>
          <w:sz w:val="21"/>
          <w:szCs w:val="21"/>
        </w:rPr>
        <w:t>，公共图书馆的阅览室，公共展览馆、博物馆的展示厅，劳动密集型企业的生产加工车</w:t>
      </w:r>
      <w:r>
        <w:rPr>
          <w:rFonts w:ascii="宋体" w:hAnsi="宋体" w:eastAsia="宋体" w:cs="宋体"/>
          <w:spacing w:val="-12"/>
          <w:sz w:val="21"/>
          <w:szCs w:val="21"/>
        </w:rPr>
        <w:t>间和员工集体宿含，旅游、宗教活动场所等。</w:t>
      </w:r>
    </w:p>
    <w:p>
      <w:pPr>
        <w:spacing w:before="32" w:line="280" w:lineRule="auto"/>
        <w:ind w:right="84"/>
        <w:jc w:val="both"/>
        <w:rPr>
          <w:rFonts w:ascii="宋体" w:hAnsi="宋体" w:eastAsia="宋体" w:cs="宋体"/>
          <w:sz w:val="21"/>
          <w:szCs w:val="21"/>
        </w:rPr>
      </w:pPr>
      <w:r>
        <w:rPr>
          <w:rFonts w:ascii="宋体" w:hAnsi="宋体" w:eastAsia="宋体" w:cs="宋体"/>
          <w:sz w:val="21"/>
          <w:szCs w:val="21"/>
        </w:rPr>
        <w:t>6.2.7根据现行国家标准《自动喷水</w:t>
      </w:r>
      <w:r>
        <w:rPr>
          <w:rFonts w:ascii="宋体" w:hAnsi="宋体" w:eastAsia="宋体" w:cs="宋体"/>
          <w:spacing w:val="-1"/>
          <w:sz w:val="21"/>
          <w:szCs w:val="21"/>
        </w:rPr>
        <w:t>灭火系统第2部分：湿式</w:t>
      </w:r>
      <w:r>
        <w:rPr>
          <w:rFonts w:ascii="宋体" w:hAnsi="宋体" w:eastAsia="宋体" w:cs="宋体"/>
          <w:spacing w:val="-8"/>
          <w:sz w:val="21"/>
          <w:szCs w:val="21"/>
        </w:rPr>
        <w:t>报警阀、延迟器、水力警铃》</w:t>
      </w:r>
      <w:r>
        <w:rPr>
          <w:rFonts w:ascii="Times New Roman" w:hAnsi="Times New Roman" w:eastAsia="Times New Roman" w:cs="Times New Roman"/>
          <w:spacing w:val="-8"/>
          <w:sz w:val="21"/>
          <w:szCs w:val="21"/>
        </w:rPr>
        <w:t>GB5135.2</w:t>
      </w:r>
      <w:r>
        <w:rPr>
          <w:rFonts w:ascii="宋体" w:hAnsi="宋体" w:eastAsia="宋体" w:cs="宋体"/>
          <w:spacing w:val="-8"/>
          <w:sz w:val="21"/>
          <w:szCs w:val="21"/>
        </w:rPr>
        <w:t>的规定，湿式报警阀的额</w:t>
      </w:r>
      <w:r>
        <w:rPr>
          <w:rFonts w:ascii="宋体" w:hAnsi="宋体" w:eastAsia="宋体" w:cs="宋体"/>
          <w:spacing w:val="2"/>
          <w:sz w:val="21"/>
          <w:szCs w:val="21"/>
        </w:rPr>
        <w:t>定工作压力包括1.60</w:t>
      </w:r>
      <w:r>
        <w:rPr>
          <w:rFonts w:ascii="Times New Roman" w:hAnsi="Times New Roman" w:eastAsia="Times New Roman" w:cs="Times New Roman"/>
          <w:sz w:val="21"/>
          <w:szCs w:val="21"/>
        </w:rPr>
        <w:t>MPa</w:t>
      </w:r>
      <w:r>
        <w:rPr>
          <w:rFonts w:ascii="宋体" w:hAnsi="宋体" w:eastAsia="宋体" w:cs="宋体"/>
          <w:spacing w:val="2"/>
          <w:sz w:val="21"/>
          <w:szCs w:val="21"/>
        </w:rPr>
        <w:t>。当对应管道的额定工作压力也满足</w:t>
      </w:r>
      <w:r>
        <w:rPr>
          <w:rFonts w:ascii="Times New Roman" w:hAnsi="Times New Roman" w:eastAsia="Times New Roman" w:cs="Times New Roman"/>
          <w:spacing w:val="3"/>
          <w:sz w:val="21"/>
          <w:szCs w:val="21"/>
        </w:rPr>
        <w:t>1.60</w:t>
      </w:r>
      <w:r>
        <w:rPr>
          <w:rFonts w:ascii="Times New Roman" w:hAnsi="Times New Roman" w:eastAsia="Times New Roman" w:cs="Times New Roman"/>
          <w:sz w:val="21"/>
          <w:szCs w:val="21"/>
        </w:rPr>
        <w:t>MPa</w:t>
      </w:r>
      <w:r>
        <w:rPr>
          <w:rFonts w:ascii="宋体" w:hAnsi="宋体" w:eastAsia="宋体" w:cs="宋体"/>
          <w:spacing w:val="3"/>
          <w:sz w:val="21"/>
          <w:szCs w:val="21"/>
        </w:rPr>
        <w:t>要求时，从报警阀组至水流指示器的配水管道承压可</w:t>
      </w:r>
      <w:r>
        <w:rPr>
          <w:rFonts w:ascii="宋体" w:hAnsi="宋体" w:eastAsia="宋体" w:cs="宋体"/>
          <w:spacing w:val="-3"/>
          <w:sz w:val="21"/>
          <w:szCs w:val="21"/>
        </w:rPr>
        <w:t>按照1.60</w:t>
      </w:r>
      <w:r>
        <w:rPr>
          <w:rFonts w:ascii="Times New Roman" w:hAnsi="Times New Roman" w:eastAsia="Times New Roman" w:cs="Times New Roman"/>
          <w:spacing w:val="-3"/>
          <w:sz w:val="21"/>
          <w:szCs w:val="21"/>
        </w:rPr>
        <w:t>MPa</w:t>
      </w:r>
      <w:r>
        <w:rPr>
          <w:rFonts w:ascii="宋体" w:hAnsi="宋体" w:eastAsia="宋体" w:cs="宋体"/>
          <w:spacing w:val="-3"/>
          <w:sz w:val="21"/>
          <w:szCs w:val="21"/>
        </w:rPr>
        <w:t>考虑。</w:t>
      </w:r>
    </w:p>
    <w:p>
      <w:pPr>
        <w:spacing w:before="3" w:line="277" w:lineRule="auto"/>
        <w:ind w:right="82"/>
        <w:jc w:val="both"/>
        <w:rPr>
          <w:rFonts w:ascii="宋体" w:hAnsi="宋体" w:eastAsia="宋体" w:cs="宋体"/>
          <w:sz w:val="21"/>
          <w:szCs w:val="21"/>
        </w:rPr>
      </w:pPr>
      <w:r>
        <w:rPr>
          <w:rFonts w:ascii="宋体" w:hAnsi="宋体" w:eastAsia="宋体" w:cs="宋体"/>
          <w:spacing w:val="3"/>
          <w:sz w:val="21"/>
          <w:szCs w:val="21"/>
        </w:rPr>
        <w:t>6.2.8流量开关的最终设定值应根据现场调试确定，系统的最</w:t>
      </w:r>
      <w:r>
        <w:rPr>
          <w:rFonts w:ascii="宋体" w:hAnsi="宋体" w:eastAsia="宋体" w:cs="宋体"/>
          <w:spacing w:val="4"/>
          <w:sz w:val="21"/>
          <w:szCs w:val="21"/>
        </w:rPr>
        <w:t>小喷头为</w:t>
      </w:r>
      <w:r>
        <w:rPr>
          <w:rFonts w:ascii="Times New Roman" w:hAnsi="Times New Roman" w:eastAsia="Times New Roman" w:cs="Times New Roman"/>
          <w:spacing w:val="4"/>
          <w:sz w:val="21"/>
          <w:szCs w:val="21"/>
        </w:rPr>
        <w:t>K=80</w:t>
      </w:r>
      <w:r>
        <w:rPr>
          <w:rFonts w:ascii="宋体" w:hAnsi="宋体" w:eastAsia="宋体" w:cs="宋体"/>
          <w:spacing w:val="4"/>
          <w:sz w:val="21"/>
          <w:szCs w:val="21"/>
        </w:rPr>
        <w:t>标准流量喷头时，流量开关的启泵流量值宜为</w:t>
      </w:r>
      <w:r>
        <w:rPr>
          <w:rFonts w:ascii="Times New Roman" w:hAnsi="Times New Roman" w:eastAsia="Times New Roman" w:cs="Times New Roman"/>
          <w:spacing w:val="-1"/>
          <w:sz w:val="21"/>
          <w:szCs w:val="21"/>
        </w:rPr>
        <w:t>2.0L/s</w:t>
      </w:r>
      <w:r>
        <w:rPr>
          <w:rFonts w:ascii="宋体" w:hAnsi="宋体" w:eastAsia="宋体" w:cs="宋体"/>
          <w:spacing w:val="-1"/>
          <w:sz w:val="21"/>
          <w:szCs w:val="21"/>
        </w:rPr>
        <w:t>。</w:t>
      </w:r>
    </w:p>
    <w:p>
      <w:pPr>
        <w:spacing w:before="1" w:line="283" w:lineRule="auto"/>
        <w:jc w:val="both"/>
        <w:rPr>
          <w:rFonts w:ascii="宋体" w:hAnsi="宋体" w:eastAsia="宋体" w:cs="宋体"/>
          <w:sz w:val="21"/>
          <w:szCs w:val="21"/>
        </w:rPr>
      </w:pPr>
      <w:r>
        <w:rPr>
          <w:rFonts w:ascii="宋体" w:hAnsi="宋体" w:eastAsia="宋体" w:cs="宋体"/>
          <w:spacing w:val="-1"/>
          <w:sz w:val="21"/>
          <w:szCs w:val="21"/>
        </w:rPr>
        <w:t>6.2.9喷淋支管从室内消火栓系统接出时，不需要设报警阀组、</w:t>
      </w:r>
      <w:r>
        <w:rPr>
          <w:rFonts w:ascii="宋体" w:hAnsi="宋体" w:eastAsia="宋体" w:cs="宋体"/>
          <w:spacing w:val="6"/>
          <w:sz w:val="21"/>
          <w:szCs w:val="21"/>
        </w:rPr>
        <w:t>水流指示器和末端试水装置。按一层同时作用的喷头数的流量</w:t>
      </w:r>
      <w:r>
        <w:rPr>
          <w:rFonts w:ascii="宋体" w:hAnsi="宋体" w:eastAsia="宋体" w:cs="宋体"/>
          <w:spacing w:val="-2"/>
          <w:sz w:val="21"/>
          <w:szCs w:val="21"/>
        </w:rPr>
        <w:t>应叠加计人其室内消火栓系统的设计流量。</w:t>
      </w:r>
    </w:p>
    <w:p>
      <w:pPr>
        <w:spacing w:before="300" w:line="221" w:lineRule="auto"/>
        <w:ind w:left="1643"/>
        <w:rPr>
          <w:rFonts w:ascii="黑体" w:hAnsi="黑体" w:eastAsia="黑体" w:cs="黑体"/>
          <w:sz w:val="21"/>
          <w:szCs w:val="21"/>
        </w:rPr>
      </w:pPr>
      <w:r>
        <w:rPr>
          <w:rFonts w:ascii="宋体" w:hAnsi="宋体" w:eastAsia="宋体" w:cs="宋体"/>
          <w:b/>
          <w:bCs/>
          <w:spacing w:val="-4"/>
          <w:sz w:val="21"/>
          <w:szCs w:val="21"/>
        </w:rPr>
        <w:t>6.3</w:t>
      </w:r>
      <w:r>
        <w:rPr>
          <w:rFonts w:ascii="黑体" w:hAnsi="黑体" w:eastAsia="黑体" w:cs="黑体"/>
          <w:b/>
          <w:bCs/>
          <w:spacing w:val="-4"/>
          <w:sz w:val="21"/>
          <w:szCs w:val="21"/>
        </w:rPr>
        <w:t>简易自动喷水灭火系统</w:t>
      </w:r>
    </w:p>
    <w:p>
      <w:pPr>
        <w:pStyle w:val="2"/>
        <w:spacing w:line="329" w:lineRule="auto"/>
      </w:pPr>
    </w:p>
    <w:p>
      <w:pPr>
        <w:spacing w:before="69" w:line="274" w:lineRule="auto"/>
        <w:ind w:right="52" w:firstLine="450"/>
        <w:jc w:val="both"/>
        <w:rPr>
          <w:rFonts w:ascii="宋体" w:hAnsi="宋体" w:eastAsia="宋体" w:cs="宋体"/>
          <w:sz w:val="21"/>
          <w:szCs w:val="21"/>
        </w:rPr>
      </w:pPr>
      <w:r>
        <w:rPr>
          <w:rFonts w:ascii="宋体" w:hAnsi="宋体" w:eastAsia="宋体" w:cs="宋体"/>
          <w:spacing w:val="-1"/>
          <w:sz w:val="21"/>
          <w:szCs w:val="21"/>
        </w:rPr>
        <w:t>本节为新增条文。本章的“简易自动喷水灭火系统”不同于</w:t>
      </w:r>
      <w:r>
        <w:rPr>
          <w:rFonts w:ascii="宋体" w:hAnsi="宋体" w:eastAsia="宋体" w:cs="宋体"/>
          <w:spacing w:val="-3"/>
          <w:sz w:val="21"/>
          <w:szCs w:val="21"/>
        </w:rPr>
        <w:t>现行国家标准《自动喷水灭火系统设计规范》GB50084中的“局</w:t>
      </w:r>
      <w:r>
        <w:rPr>
          <w:rFonts w:ascii="宋体" w:hAnsi="宋体" w:eastAsia="宋体" w:cs="宋体"/>
          <w:spacing w:val="-5"/>
          <w:sz w:val="21"/>
          <w:szCs w:val="21"/>
        </w:rPr>
        <w:t>部应用系统”,其适用范围为尚达不到局部应用系统设置条件，根</w:t>
      </w:r>
      <w:r>
        <w:rPr>
          <w:rFonts w:ascii="宋体" w:hAnsi="宋体" w:eastAsia="宋体" w:cs="宋体"/>
          <w:sz w:val="21"/>
          <w:szCs w:val="21"/>
        </w:rPr>
        <w:t>据上海消防特点和灭火实践，以控火为主要</w:t>
      </w:r>
      <w:r>
        <w:rPr>
          <w:rFonts w:ascii="宋体" w:hAnsi="宋体" w:eastAsia="宋体" w:cs="宋体"/>
          <w:spacing w:val="-1"/>
          <w:sz w:val="21"/>
          <w:szCs w:val="21"/>
        </w:rPr>
        <w:t>目标，需要设置自动</w:t>
      </w:r>
      <w:r>
        <w:rPr>
          <w:rFonts w:ascii="宋体" w:hAnsi="宋体" w:eastAsia="宋体" w:cs="宋体"/>
          <w:spacing w:val="-5"/>
          <w:sz w:val="21"/>
          <w:szCs w:val="21"/>
        </w:rPr>
        <w:t>喷水灭火系统的场所。</w:t>
      </w:r>
    </w:p>
    <w:p>
      <w:pPr>
        <w:spacing w:before="13" w:line="218" w:lineRule="auto"/>
        <w:ind w:left="3"/>
        <w:rPr>
          <w:rFonts w:ascii="宋体" w:hAnsi="宋体" w:eastAsia="宋体" w:cs="宋体"/>
          <w:sz w:val="21"/>
          <w:szCs w:val="21"/>
        </w:rPr>
      </w:pPr>
      <w:r>
        <w:rPr>
          <w:rFonts w:ascii="宋体" w:hAnsi="宋体" w:eastAsia="宋体" w:cs="宋体"/>
          <w:b/>
          <w:bCs/>
          <w:spacing w:val="2"/>
          <w:sz w:val="21"/>
          <w:szCs w:val="21"/>
        </w:rPr>
        <w:t>6.3.1</w:t>
      </w:r>
      <w:r>
        <w:rPr>
          <w:rFonts w:ascii="宋体" w:hAnsi="宋体" w:eastAsia="宋体" w:cs="宋体"/>
          <w:spacing w:val="2"/>
          <w:sz w:val="21"/>
          <w:szCs w:val="21"/>
        </w:rPr>
        <w:t>简易喷淋设置位置是指貝有一定的火灾危险性，但按照</w:t>
      </w:r>
    </w:p>
    <w:p>
      <w:pPr>
        <w:spacing w:line="218" w:lineRule="auto"/>
        <w:rPr>
          <w:rFonts w:ascii="宋体" w:hAnsi="宋体" w:eastAsia="宋体" w:cs="宋体"/>
          <w:sz w:val="21"/>
          <w:szCs w:val="21"/>
        </w:rPr>
        <w:sectPr>
          <w:footerReference r:id="rId108" w:type="default"/>
          <w:pgSz w:w="8280" w:h="11850"/>
          <w:pgMar w:top="400" w:right="1126" w:bottom="1330" w:left="1200" w:header="0" w:footer="1057" w:gutter="0"/>
          <w:cols w:space="720" w:num="1"/>
        </w:sectPr>
      </w:pPr>
    </w:p>
    <w:p>
      <w:pPr>
        <w:pStyle w:val="2"/>
        <w:spacing w:line="257" w:lineRule="auto"/>
      </w:pPr>
    </w:p>
    <w:p>
      <w:pPr>
        <w:pStyle w:val="2"/>
        <w:spacing w:line="258" w:lineRule="auto"/>
      </w:pPr>
    </w:p>
    <w:p>
      <w:pPr>
        <w:pStyle w:val="2"/>
        <w:spacing w:line="258" w:lineRule="auto"/>
      </w:pPr>
    </w:p>
    <w:p>
      <w:pPr>
        <w:spacing w:before="69" w:line="274" w:lineRule="auto"/>
        <w:jc w:val="both"/>
        <w:rPr>
          <w:rFonts w:ascii="宋体" w:hAnsi="宋体" w:eastAsia="宋体" w:cs="宋体"/>
          <w:sz w:val="21"/>
          <w:szCs w:val="21"/>
        </w:rPr>
      </w:pPr>
      <w:r>
        <w:rPr>
          <w:rFonts w:ascii="宋体" w:hAnsi="宋体" w:eastAsia="宋体" w:cs="宋体"/>
          <w:spacing w:val="8"/>
          <w:sz w:val="21"/>
          <w:szCs w:val="21"/>
        </w:rPr>
        <w:t>现行国家及上海标准可不设置喷淋的区域。设置简易喷淋是以</w:t>
      </w:r>
      <w:r>
        <w:rPr>
          <w:rFonts w:ascii="宋体" w:hAnsi="宋体" w:eastAsia="宋体" w:cs="宋体"/>
          <w:sz w:val="21"/>
          <w:szCs w:val="21"/>
        </w:rPr>
        <w:t>控火为目标，可以根据喷头流量和喷头工作</w:t>
      </w:r>
      <w:r>
        <w:rPr>
          <w:rFonts w:ascii="宋体" w:hAnsi="宋体" w:eastAsia="宋体" w:cs="宋体"/>
          <w:spacing w:val="-1"/>
          <w:sz w:val="21"/>
          <w:szCs w:val="21"/>
        </w:rPr>
        <w:t>压力适当减少喷头间</w:t>
      </w:r>
      <w:r>
        <w:rPr>
          <w:rFonts w:ascii="宋体" w:hAnsi="宋体" w:eastAsia="宋体" w:cs="宋体"/>
          <w:sz w:val="21"/>
          <w:szCs w:val="21"/>
        </w:rPr>
        <w:t>距和单个喷头最大保护面积，以满足喷头强</w:t>
      </w:r>
      <w:r>
        <w:rPr>
          <w:rFonts w:ascii="宋体" w:hAnsi="宋体" w:eastAsia="宋体" w:cs="宋体"/>
          <w:spacing w:val="-1"/>
          <w:sz w:val="21"/>
          <w:szCs w:val="21"/>
        </w:rPr>
        <w:t>度的要求，但喷头工作压力最小不得低于0.025</w:t>
      </w:r>
      <w:r>
        <w:rPr>
          <w:rFonts w:ascii="Times New Roman" w:hAnsi="Times New Roman" w:eastAsia="Times New Roman" w:cs="Times New Roman"/>
          <w:spacing w:val="-1"/>
          <w:sz w:val="21"/>
          <w:szCs w:val="21"/>
        </w:rPr>
        <w:t>MPa</w:t>
      </w:r>
      <w:r>
        <w:rPr>
          <w:rFonts w:ascii="宋体" w:hAnsi="宋体" w:eastAsia="宋体" w:cs="宋体"/>
          <w:spacing w:val="-1"/>
          <w:sz w:val="21"/>
          <w:szCs w:val="21"/>
        </w:rPr>
        <w:t>。</w:t>
      </w:r>
    </w:p>
    <w:p>
      <w:pPr>
        <w:spacing w:before="3" w:line="292" w:lineRule="auto"/>
        <w:ind w:right="4" w:firstLine="3"/>
        <w:rPr>
          <w:rFonts w:ascii="宋体" w:hAnsi="宋体" w:eastAsia="宋体" w:cs="宋体"/>
          <w:sz w:val="21"/>
          <w:szCs w:val="21"/>
        </w:rPr>
      </w:pPr>
      <w:r>
        <w:rPr>
          <w:rFonts w:ascii="宋体" w:hAnsi="宋体" w:eastAsia="宋体" w:cs="宋体"/>
          <w:b/>
          <w:bCs/>
          <w:spacing w:val="-7"/>
          <w:sz w:val="21"/>
          <w:szCs w:val="21"/>
        </w:rPr>
        <w:t>6.3.3～6.3.5</w:t>
      </w:r>
      <w:r>
        <w:rPr>
          <w:rFonts w:ascii="宋体" w:hAnsi="宋体" w:eastAsia="宋体" w:cs="宋体"/>
          <w:spacing w:val="-7"/>
          <w:sz w:val="21"/>
          <w:szCs w:val="21"/>
        </w:rPr>
        <w:t>参考了《简易自动喷水灭火系统设计、施工、维护</w:t>
      </w:r>
      <w:r>
        <w:rPr>
          <w:rFonts w:ascii="宋体" w:hAnsi="宋体" w:eastAsia="宋体" w:cs="宋体"/>
          <w:spacing w:val="-9"/>
          <w:sz w:val="21"/>
          <w:szCs w:val="21"/>
        </w:rPr>
        <w:t>暂行技术办法》(沪消发〔2002〕206</w:t>
      </w:r>
      <w:r>
        <w:rPr>
          <w:rFonts w:ascii="宋体" w:hAnsi="宋体" w:eastAsia="宋体" w:cs="宋体"/>
          <w:spacing w:val="-10"/>
          <w:sz w:val="21"/>
          <w:szCs w:val="21"/>
        </w:rPr>
        <w:t>号)的相关条文。</w:t>
      </w:r>
    </w:p>
    <w:p>
      <w:pPr>
        <w:spacing w:before="282" w:line="222" w:lineRule="auto"/>
        <w:ind w:left="2163"/>
        <w:rPr>
          <w:rFonts w:ascii="黑体" w:hAnsi="黑体" w:eastAsia="黑体" w:cs="黑体"/>
          <w:sz w:val="21"/>
          <w:szCs w:val="21"/>
        </w:rPr>
      </w:pPr>
      <w:r>
        <w:rPr>
          <w:rFonts w:ascii="宋体" w:hAnsi="宋体" w:eastAsia="宋体" w:cs="宋体"/>
          <w:b/>
          <w:bCs/>
          <w:spacing w:val="-1"/>
          <w:sz w:val="21"/>
          <w:szCs w:val="21"/>
        </w:rPr>
        <w:t>6.4</w:t>
      </w:r>
      <w:r>
        <w:rPr>
          <w:rFonts w:ascii="黑体" w:hAnsi="黑体" w:eastAsia="黑体" w:cs="黑体"/>
          <w:b/>
          <w:bCs/>
          <w:spacing w:val="-1"/>
          <w:sz w:val="21"/>
          <w:szCs w:val="21"/>
        </w:rPr>
        <w:t>控制与操作</w:t>
      </w:r>
    </w:p>
    <w:p>
      <w:pPr>
        <w:pStyle w:val="2"/>
        <w:spacing w:line="331" w:lineRule="auto"/>
      </w:pPr>
    </w:p>
    <w:p>
      <w:pPr>
        <w:spacing w:before="69" w:line="292" w:lineRule="auto"/>
        <w:ind w:right="4" w:firstLine="3"/>
        <w:rPr>
          <w:rFonts w:ascii="宋体" w:hAnsi="宋体" w:eastAsia="宋体" w:cs="宋体"/>
          <w:sz w:val="21"/>
          <w:szCs w:val="21"/>
        </w:rPr>
      </w:pPr>
      <w:r>
        <w:rPr>
          <w:rFonts w:ascii="宋体" w:hAnsi="宋体" w:eastAsia="宋体" w:cs="宋体"/>
          <w:b/>
          <w:bCs/>
          <w:spacing w:val="3"/>
          <w:sz w:val="21"/>
          <w:szCs w:val="21"/>
        </w:rPr>
        <w:t>6.4.1</w:t>
      </w:r>
      <w:r>
        <w:rPr>
          <w:rFonts w:ascii="宋体" w:hAnsi="宋体" w:eastAsia="宋体" w:cs="宋体"/>
          <w:spacing w:val="3"/>
          <w:sz w:val="21"/>
          <w:szCs w:val="21"/>
        </w:rPr>
        <w:t>自动喷水灭火系统的控制与操作与现行国家标准《自动</w:t>
      </w:r>
      <w:r>
        <w:rPr>
          <w:rFonts w:ascii="宋体" w:hAnsi="宋体" w:eastAsia="宋体" w:cs="宋体"/>
          <w:spacing w:val="-5"/>
          <w:sz w:val="21"/>
          <w:szCs w:val="21"/>
        </w:rPr>
        <w:t>喷水灭火系统设计规范》</w:t>
      </w:r>
      <w:r>
        <w:rPr>
          <w:rFonts w:ascii="Times New Roman" w:hAnsi="Times New Roman" w:eastAsia="Times New Roman" w:cs="Times New Roman"/>
          <w:spacing w:val="-5"/>
          <w:sz w:val="21"/>
          <w:szCs w:val="21"/>
        </w:rPr>
        <w:t>GB50084</w:t>
      </w:r>
      <w:r>
        <w:rPr>
          <w:rFonts w:ascii="宋体" w:hAnsi="宋体" w:eastAsia="宋体" w:cs="宋体"/>
          <w:spacing w:val="-5"/>
          <w:sz w:val="21"/>
          <w:szCs w:val="21"/>
        </w:rPr>
        <w:t>要求</w:t>
      </w:r>
      <w:r>
        <w:rPr>
          <w:rFonts w:ascii="宋体" w:hAnsi="宋体" w:eastAsia="宋体" w:cs="宋体"/>
          <w:spacing w:val="-6"/>
          <w:sz w:val="21"/>
          <w:szCs w:val="21"/>
        </w:rPr>
        <w:t>一致。</w:t>
      </w:r>
    </w:p>
    <w:p>
      <w:pPr>
        <w:spacing w:line="292" w:lineRule="auto"/>
        <w:rPr>
          <w:rFonts w:ascii="宋体" w:hAnsi="宋体" w:eastAsia="宋体" w:cs="宋体"/>
          <w:sz w:val="21"/>
          <w:szCs w:val="21"/>
        </w:rPr>
        <w:sectPr>
          <w:footerReference r:id="rId109" w:type="default"/>
          <w:pgSz w:w="8280" w:h="11850"/>
          <w:pgMar w:top="400" w:right="1201" w:bottom="1346" w:left="1190" w:header="0" w:footer="1157" w:gutter="0"/>
          <w:cols w:space="720" w:num="1"/>
        </w:sectPr>
      </w:pPr>
    </w:p>
    <w:p>
      <w:pPr>
        <w:pStyle w:val="2"/>
        <w:spacing w:line="267" w:lineRule="auto"/>
      </w:pPr>
    </w:p>
    <w:p>
      <w:pPr>
        <w:pStyle w:val="2"/>
        <w:spacing w:line="267" w:lineRule="auto"/>
      </w:pPr>
    </w:p>
    <w:p>
      <w:pPr>
        <w:pStyle w:val="2"/>
        <w:spacing w:line="267" w:lineRule="auto"/>
      </w:pPr>
    </w:p>
    <w:p>
      <w:pPr>
        <w:pStyle w:val="2"/>
        <w:spacing w:line="267" w:lineRule="auto"/>
      </w:pPr>
    </w:p>
    <w:p>
      <w:pPr>
        <w:pStyle w:val="2"/>
        <w:spacing w:line="267" w:lineRule="auto"/>
      </w:pPr>
    </w:p>
    <w:p>
      <w:pPr>
        <w:spacing w:before="91" w:line="221" w:lineRule="auto"/>
        <w:ind w:left="1023"/>
        <w:rPr>
          <w:rFonts w:ascii="黑体" w:hAnsi="黑体" w:eastAsia="黑体" w:cs="黑体"/>
          <w:sz w:val="28"/>
          <w:szCs w:val="28"/>
        </w:rPr>
      </w:pPr>
      <w:r>
        <w:rPr>
          <w:rFonts w:ascii="宋体" w:hAnsi="宋体" w:eastAsia="宋体" w:cs="宋体"/>
          <w:b/>
          <w:bCs/>
          <w:spacing w:val="-8"/>
          <w:sz w:val="28"/>
          <w:szCs w:val="28"/>
        </w:rPr>
        <w:t>7</w:t>
      </w:r>
      <w:r>
        <w:rPr>
          <w:rFonts w:ascii="黑体" w:hAnsi="黑体" w:eastAsia="黑体" w:cs="黑体"/>
          <w:b/>
          <w:bCs/>
          <w:spacing w:val="-8"/>
          <w:sz w:val="28"/>
          <w:szCs w:val="28"/>
        </w:rPr>
        <w:t>自动跟踪定位射流灭火系统</w:t>
      </w:r>
    </w:p>
    <w:p>
      <w:pPr>
        <w:pStyle w:val="2"/>
        <w:spacing w:line="288" w:lineRule="auto"/>
      </w:pPr>
    </w:p>
    <w:p>
      <w:pPr>
        <w:pStyle w:val="2"/>
        <w:spacing w:line="289" w:lineRule="auto"/>
      </w:pPr>
    </w:p>
    <w:p>
      <w:pPr>
        <w:spacing w:before="69" w:line="273" w:lineRule="auto"/>
        <w:ind w:firstLine="439"/>
        <w:jc w:val="both"/>
        <w:rPr>
          <w:rFonts w:ascii="宋体" w:hAnsi="宋体" w:eastAsia="宋体" w:cs="宋体"/>
          <w:sz w:val="21"/>
          <w:szCs w:val="21"/>
        </w:rPr>
      </w:pPr>
      <w:r>
        <w:rPr>
          <w:rFonts w:ascii="宋体" w:hAnsi="宋体" w:eastAsia="宋体" w:cs="宋体"/>
          <w:spacing w:val="6"/>
          <w:sz w:val="21"/>
          <w:szCs w:val="21"/>
        </w:rPr>
        <w:t>本章为新增章节。自动跟踪定位射流灭火系统是近年来我</w:t>
      </w:r>
      <w:r>
        <w:rPr>
          <w:rFonts w:ascii="宋体" w:hAnsi="宋体" w:eastAsia="宋体" w:cs="宋体"/>
          <w:spacing w:val="1"/>
          <w:sz w:val="21"/>
          <w:szCs w:val="21"/>
        </w:rPr>
        <w:t>国自主研发的一种新型自动灭火系统。该系统以水为</w:t>
      </w:r>
      <w:r>
        <w:rPr>
          <w:rFonts w:ascii="宋体" w:hAnsi="宋体" w:eastAsia="宋体" w:cs="宋体"/>
          <w:sz w:val="21"/>
          <w:szCs w:val="21"/>
        </w:rPr>
        <w:t>喷射介质，</w:t>
      </w:r>
      <w:r>
        <w:rPr>
          <w:rFonts w:ascii="宋体" w:hAnsi="宋体" w:eastAsia="宋体" w:cs="宋体"/>
          <w:spacing w:val="-6"/>
          <w:sz w:val="21"/>
          <w:szCs w:val="21"/>
        </w:rPr>
        <w:t>利用红外线、紫外线、数字图像或其他火灾探测装置对烟、温度、</w:t>
      </w:r>
      <w:r>
        <w:rPr>
          <w:rFonts w:ascii="宋体" w:hAnsi="宋体" w:eastAsia="宋体" w:cs="宋体"/>
          <w:spacing w:val="-2"/>
          <w:sz w:val="21"/>
          <w:szCs w:val="21"/>
        </w:rPr>
        <w:t>火焰等的探测，对早期火灾自动跟踪定位，并运用自动控制方式实施射流灭火。该系统适用于空间高度高、容积大、火场温升较</w:t>
      </w:r>
      <w:r>
        <w:rPr>
          <w:rFonts w:ascii="宋体" w:hAnsi="宋体" w:eastAsia="宋体" w:cs="宋体"/>
          <w:spacing w:val="-5"/>
          <w:sz w:val="21"/>
          <w:szCs w:val="21"/>
        </w:rPr>
        <w:t>慢、难以设置闭式自动喷水灭火系统的高大空间场所。</w:t>
      </w:r>
    </w:p>
    <w:p>
      <w:pPr>
        <w:spacing w:before="30" w:line="280" w:lineRule="auto"/>
        <w:ind w:right="96"/>
        <w:jc w:val="both"/>
        <w:rPr>
          <w:rFonts w:ascii="宋体" w:hAnsi="宋体" w:eastAsia="宋体" w:cs="宋体"/>
          <w:sz w:val="21"/>
          <w:szCs w:val="21"/>
        </w:rPr>
      </w:pPr>
      <w:r>
        <w:rPr>
          <w:rFonts w:ascii="Times New Roman" w:hAnsi="Times New Roman" w:eastAsia="Times New Roman" w:cs="Times New Roman"/>
          <w:b/>
          <w:bCs/>
          <w:spacing w:val="-3"/>
          <w:sz w:val="21"/>
          <w:szCs w:val="21"/>
        </w:rPr>
        <w:t>7.0.1</w:t>
      </w:r>
      <w:r>
        <w:rPr>
          <w:rFonts w:ascii="宋体" w:hAnsi="宋体" w:eastAsia="宋体" w:cs="宋体"/>
          <w:spacing w:val="-3"/>
          <w:sz w:val="21"/>
          <w:szCs w:val="21"/>
        </w:rPr>
        <w:t>在实际项目中，受现状条件影响</w:t>
      </w:r>
      <w:r>
        <w:rPr>
          <w:rFonts w:ascii="宋体" w:hAnsi="宋体" w:eastAsia="宋体" w:cs="宋体"/>
          <w:spacing w:val="-4"/>
          <w:sz w:val="21"/>
          <w:szCs w:val="21"/>
        </w:rPr>
        <w:t>，如安装的高度小于8</w:t>
      </w:r>
      <w:r>
        <w:rPr>
          <w:rFonts w:ascii="Times New Roman" w:hAnsi="Times New Roman" w:eastAsia="Times New Roman" w:cs="Times New Roman"/>
          <w:spacing w:val="-4"/>
          <w:sz w:val="21"/>
          <w:szCs w:val="21"/>
        </w:rPr>
        <w:t>m,</w:t>
      </w:r>
      <w:r>
        <w:rPr>
          <w:rFonts w:ascii="宋体" w:hAnsi="宋体" w:eastAsia="宋体" w:cs="宋体"/>
          <w:spacing w:val="-2"/>
          <w:sz w:val="21"/>
          <w:szCs w:val="21"/>
        </w:rPr>
        <w:t>应根据产品的喷水性能曲线，确保安装位置喷水时能对保护区域进行面积全覆盖。</w:t>
      </w:r>
    </w:p>
    <w:p>
      <w:pPr>
        <w:spacing w:line="280" w:lineRule="auto"/>
        <w:rPr>
          <w:rFonts w:ascii="宋体" w:hAnsi="宋体" w:eastAsia="宋体" w:cs="宋体"/>
          <w:sz w:val="21"/>
          <w:szCs w:val="21"/>
        </w:rPr>
        <w:sectPr>
          <w:footerReference r:id="rId110" w:type="default"/>
          <w:pgSz w:w="8280" w:h="11850"/>
          <w:pgMar w:top="400" w:right="1135" w:bottom="1390" w:left="1210" w:header="0" w:footer="1117" w:gutter="0"/>
          <w:cols w:space="720" w:num="1"/>
        </w:sectPr>
      </w:pPr>
    </w:p>
    <w:p>
      <w:pPr>
        <w:pStyle w:val="2"/>
        <w:spacing w:line="257" w:lineRule="auto"/>
      </w:pPr>
    </w:p>
    <w:p>
      <w:pPr>
        <w:pStyle w:val="2"/>
        <w:spacing w:line="257" w:lineRule="auto"/>
      </w:pPr>
    </w:p>
    <w:p>
      <w:pPr>
        <w:pStyle w:val="2"/>
        <w:spacing w:line="257" w:lineRule="auto"/>
      </w:pPr>
    </w:p>
    <w:p>
      <w:pPr>
        <w:pStyle w:val="2"/>
        <w:spacing w:line="257" w:lineRule="auto"/>
      </w:pPr>
    </w:p>
    <w:p>
      <w:pPr>
        <w:pStyle w:val="2"/>
        <w:spacing w:line="258" w:lineRule="auto"/>
      </w:pPr>
    </w:p>
    <w:p>
      <w:pPr>
        <w:spacing w:before="91" w:line="221" w:lineRule="auto"/>
        <w:ind w:left="1474"/>
        <w:rPr>
          <w:rFonts w:ascii="黑体" w:hAnsi="黑体" w:eastAsia="黑体" w:cs="黑体"/>
          <w:sz w:val="28"/>
          <w:szCs w:val="28"/>
        </w:rPr>
      </w:pPr>
      <w:r>
        <w:rPr>
          <w:rFonts w:ascii="宋体" w:hAnsi="宋体" w:eastAsia="宋体" w:cs="宋体"/>
          <w:b/>
          <w:bCs/>
          <w:spacing w:val="-1"/>
          <w:sz w:val="28"/>
          <w:szCs w:val="28"/>
        </w:rPr>
        <w:t>8</w:t>
      </w:r>
      <w:r>
        <w:rPr>
          <w:rFonts w:ascii="黑体" w:hAnsi="黑体" w:eastAsia="黑体" w:cs="黑体"/>
          <w:b/>
          <w:bCs/>
          <w:spacing w:val="-1"/>
          <w:sz w:val="28"/>
          <w:szCs w:val="28"/>
        </w:rPr>
        <w:t>其他灭火系统及装置</w:t>
      </w:r>
    </w:p>
    <w:p>
      <w:pPr>
        <w:pStyle w:val="2"/>
        <w:spacing w:line="293" w:lineRule="auto"/>
      </w:pPr>
    </w:p>
    <w:p>
      <w:pPr>
        <w:pStyle w:val="2"/>
        <w:spacing w:line="293" w:lineRule="auto"/>
      </w:pPr>
    </w:p>
    <w:p>
      <w:pPr>
        <w:spacing w:before="68" w:line="282" w:lineRule="auto"/>
        <w:ind w:firstLine="450"/>
        <w:jc w:val="both"/>
        <w:rPr>
          <w:rFonts w:ascii="宋体" w:hAnsi="宋体" w:eastAsia="宋体" w:cs="宋体"/>
          <w:sz w:val="21"/>
          <w:szCs w:val="21"/>
        </w:rPr>
      </w:pPr>
      <w:r>
        <w:rPr>
          <w:rFonts w:ascii="宋体" w:hAnsi="宋体" w:eastAsia="宋体" w:cs="宋体"/>
          <w:spacing w:val="-9"/>
          <w:sz w:val="21"/>
          <w:szCs w:val="21"/>
        </w:rPr>
        <w:t>本章为新增章节。原标准仅规定了“水灭火”相关内容，实际</w:t>
      </w:r>
      <w:r>
        <w:rPr>
          <w:rFonts w:ascii="宋体" w:hAnsi="宋体" w:eastAsia="宋体" w:cs="宋体"/>
          <w:spacing w:val="-2"/>
          <w:sz w:val="21"/>
          <w:szCs w:val="21"/>
        </w:rPr>
        <w:t>使用中会涉及其他自动灭火系统的选用，例如氮气灭火系统、探</w:t>
      </w:r>
      <w:r>
        <w:rPr>
          <w:rFonts w:ascii="宋体" w:hAnsi="宋体" w:eastAsia="宋体" w:cs="宋体"/>
          <w:spacing w:val="6"/>
          <w:sz w:val="21"/>
          <w:szCs w:val="21"/>
        </w:rPr>
        <w:t>火管灭火装置和超细干粉自动灭火装置。为方便设计人员设计</w:t>
      </w:r>
      <w:r>
        <w:rPr>
          <w:rFonts w:ascii="宋体" w:hAnsi="宋体" w:eastAsia="宋体" w:cs="宋体"/>
          <w:spacing w:val="-12"/>
          <w:sz w:val="21"/>
          <w:szCs w:val="21"/>
        </w:rPr>
        <w:t>选用，增加了本章内容。</w:t>
      </w:r>
    </w:p>
    <w:p>
      <w:pPr>
        <w:spacing w:before="302" w:line="221" w:lineRule="auto"/>
        <w:ind w:left="2052"/>
        <w:rPr>
          <w:rFonts w:ascii="黑体" w:hAnsi="黑体" w:eastAsia="黑体" w:cs="黑体"/>
          <w:sz w:val="21"/>
          <w:szCs w:val="21"/>
        </w:rPr>
      </w:pPr>
      <w:r>
        <w:rPr>
          <w:rFonts w:ascii="宋体" w:hAnsi="宋体" w:eastAsia="宋体" w:cs="宋体"/>
          <w:b/>
          <w:bCs/>
          <w:spacing w:val="-2"/>
          <w:sz w:val="21"/>
          <w:szCs w:val="21"/>
        </w:rPr>
        <w:t>8.1</w:t>
      </w:r>
      <w:r>
        <w:rPr>
          <w:rFonts w:ascii="黑体" w:hAnsi="黑体" w:eastAsia="黑体" w:cs="黑体"/>
          <w:b/>
          <w:bCs/>
          <w:spacing w:val="-2"/>
          <w:sz w:val="21"/>
          <w:szCs w:val="21"/>
        </w:rPr>
        <w:t>氮气灭火系统</w:t>
      </w:r>
    </w:p>
    <w:p>
      <w:pPr>
        <w:pStyle w:val="2"/>
        <w:spacing w:line="305" w:lineRule="auto"/>
      </w:pPr>
    </w:p>
    <w:p>
      <w:pPr>
        <w:spacing w:before="68" w:line="273" w:lineRule="auto"/>
        <w:ind w:firstLine="460"/>
        <w:jc w:val="both"/>
        <w:rPr>
          <w:rFonts w:ascii="宋体" w:hAnsi="宋体" w:eastAsia="宋体" w:cs="宋体"/>
          <w:sz w:val="21"/>
          <w:szCs w:val="21"/>
        </w:rPr>
      </w:pPr>
      <w:r>
        <w:rPr>
          <w:rFonts w:ascii="宋体" w:hAnsi="宋体" w:eastAsia="宋体" w:cs="宋体"/>
          <w:sz w:val="21"/>
          <w:szCs w:val="21"/>
        </w:rPr>
        <w:t>常见应用范围较广的气体灭火系统包括</w:t>
      </w:r>
      <w:r>
        <w:rPr>
          <w:rFonts w:ascii="Times New Roman" w:hAnsi="Times New Roman" w:eastAsia="Times New Roman" w:cs="Times New Roman"/>
          <w:sz w:val="21"/>
          <w:szCs w:val="21"/>
        </w:rPr>
        <w:t>IG-541</w:t>
      </w:r>
      <w:r>
        <w:rPr>
          <w:rFonts w:ascii="宋体" w:hAnsi="宋体" w:eastAsia="宋体" w:cs="宋体"/>
          <w:sz w:val="21"/>
          <w:szCs w:val="21"/>
        </w:rPr>
        <w:t>混合气体灭</w:t>
      </w:r>
      <w:r>
        <w:rPr>
          <w:rFonts w:ascii="宋体" w:hAnsi="宋体" w:eastAsia="宋体" w:cs="宋体"/>
          <w:spacing w:val="-2"/>
          <w:sz w:val="21"/>
          <w:szCs w:val="21"/>
        </w:rPr>
        <w:t>火系统、七氟丙烷灭火系统和氮气灭火系统，前两种在现行国家</w:t>
      </w:r>
      <w:r>
        <w:rPr>
          <w:rFonts w:ascii="宋体" w:hAnsi="宋体" w:eastAsia="宋体" w:cs="宋体"/>
          <w:spacing w:val="-4"/>
          <w:sz w:val="21"/>
          <w:szCs w:val="21"/>
        </w:rPr>
        <w:t>标准《气体灭火系统设计规范》</w:t>
      </w:r>
      <w:r>
        <w:rPr>
          <w:rFonts w:ascii="Times New Roman" w:hAnsi="Times New Roman" w:eastAsia="Times New Roman" w:cs="Times New Roman"/>
          <w:spacing w:val="-4"/>
          <w:sz w:val="21"/>
          <w:szCs w:val="21"/>
        </w:rPr>
        <w:t>GB50370</w:t>
      </w:r>
      <w:r>
        <w:rPr>
          <w:rFonts w:ascii="宋体" w:hAnsi="宋体" w:eastAsia="宋体" w:cs="宋体"/>
          <w:spacing w:val="-4"/>
          <w:sz w:val="21"/>
          <w:szCs w:val="21"/>
        </w:rPr>
        <w:t>中已有明确规定，本标</w:t>
      </w:r>
      <w:r>
        <w:rPr>
          <w:rFonts w:ascii="宋体" w:hAnsi="宋体" w:eastAsia="宋体" w:cs="宋体"/>
          <w:spacing w:val="1"/>
          <w:sz w:val="21"/>
          <w:szCs w:val="21"/>
        </w:rPr>
        <w:t>准不再赘述。以下条文中规定的氮气灭火系统均称</w:t>
      </w:r>
      <w:r>
        <w:rPr>
          <w:rFonts w:ascii="宋体" w:hAnsi="宋体" w:eastAsia="宋体" w:cs="宋体"/>
          <w:sz w:val="21"/>
          <w:szCs w:val="21"/>
        </w:rPr>
        <w:t>为</w:t>
      </w:r>
      <w:r>
        <w:rPr>
          <w:rFonts w:ascii="Times New Roman" w:hAnsi="Times New Roman" w:eastAsia="Times New Roman" w:cs="Times New Roman"/>
          <w:sz w:val="21"/>
          <w:szCs w:val="21"/>
        </w:rPr>
        <w:t>IG-100</w:t>
      </w:r>
      <w:r>
        <w:rPr>
          <w:rFonts w:ascii="宋体" w:hAnsi="宋体" w:eastAsia="宋体" w:cs="宋体"/>
          <w:sz w:val="21"/>
          <w:szCs w:val="21"/>
        </w:rPr>
        <w:t>灭</w:t>
      </w:r>
      <w:r>
        <w:rPr>
          <w:rFonts w:ascii="宋体" w:hAnsi="宋体" w:eastAsia="宋体" w:cs="宋体"/>
          <w:spacing w:val="-3"/>
          <w:sz w:val="21"/>
          <w:szCs w:val="21"/>
        </w:rPr>
        <w:t>火系统。</w:t>
      </w:r>
    </w:p>
    <w:p>
      <w:pPr>
        <w:spacing w:before="196" w:line="224" w:lineRule="auto"/>
        <w:ind w:left="2359"/>
        <w:rPr>
          <w:rFonts w:ascii="仿宋" w:hAnsi="仿宋" w:eastAsia="仿宋" w:cs="仿宋"/>
          <w:sz w:val="21"/>
          <w:szCs w:val="21"/>
        </w:rPr>
      </w:pPr>
      <w:r>
        <w:rPr>
          <w:rFonts w:ascii="Times New Roman" w:hAnsi="Times New Roman" w:eastAsia="Times New Roman" w:cs="Times New Roman"/>
          <w:spacing w:val="-3"/>
          <w:sz w:val="21"/>
          <w:szCs w:val="21"/>
        </w:rPr>
        <w:t>I</w:t>
      </w:r>
      <w:r>
        <w:rPr>
          <w:rFonts w:ascii="仿宋" w:hAnsi="仿宋" w:eastAsia="仿宋" w:cs="仿宋"/>
          <w:spacing w:val="-3"/>
          <w:sz w:val="21"/>
          <w:szCs w:val="21"/>
        </w:rPr>
        <w:t>一般规定</w:t>
      </w:r>
    </w:p>
    <w:p>
      <w:pPr>
        <w:spacing w:before="208" w:line="273" w:lineRule="auto"/>
        <w:ind w:right="20"/>
        <w:jc w:val="both"/>
        <w:rPr>
          <w:rFonts w:ascii="宋体" w:hAnsi="宋体" w:eastAsia="宋体" w:cs="宋体"/>
          <w:sz w:val="21"/>
          <w:szCs w:val="21"/>
        </w:rPr>
      </w:pPr>
      <w:r>
        <w:rPr>
          <w:rFonts w:ascii="宋体" w:hAnsi="宋体" w:eastAsia="宋体" w:cs="宋体"/>
          <w:spacing w:val="5"/>
          <w:sz w:val="21"/>
          <w:szCs w:val="21"/>
        </w:rPr>
        <w:t>8.1.1中国于2021年4月16日决定接受《&lt;蒙特利尔议定书&gt;基</w:t>
      </w:r>
      <w:r>
        <w:rPr>
          <w:rFonts w:ascii="宋体" w:hAnsi="宋体" w:eastAsia="宋体" w:cs="宋体"/>
          <w:spacing w:val="2"/>
          <w:sz w:val="21"/>
          <w:szCs w:val="21"/>
        </w:rPr>
        <w:t>加利修正案》,加强氢氟碳化物等非二氧化碳温室气体管控。七</w:t>
      </w:r>
      <w:r>
        <w:rPr>
          <w:rFonts w:ascii="宋体" w:hAnsi="宋体" w:eastAsia="宋体" w:cs="宋体"/>
          <w:spacing w:val="11"/>
          <w:sz w:val="21"/>
          <w:szCs w:val="21"/>
        </w:rPr>
        <w:t>氟丙烷作为18种受控物质之一，大气中存留寿命</w:t>
      </w:r>
      <w:r>
        <w:rPr>
          <w:rFonts w:ascii="Times New Roman" w:hAnsi="Times New Roman" w:eastAsia="Times New Roman" w:cs="Times New Roman"/>
          <w:spacing w:val="11"/>
          <w:sz w:val="21"/>
          <w:szCs w:val="21"/>
        </w:rPr>
        <w:t>(</w:t>
      </w:r>
      <w:r>
        <w:rPr>
          <w:rFonts w:ascii="Times New Roman" w:hAnsi="Times New Roman" w:eastAsia="Times New Roman" w:cs="Times New Roman"/>
          <w:sz w:val="21"/>
          <w:szCs w:val="21"/>
        </w:rPr>
        <w:t>ALT</w:t>
      </w:r>
      <w:r>
        <w:rPr>
          <w:rFonts w:ascii="Times New Roman" w:hAnsi="Times New Roman" w:eastAsia="Times New Roman" w:cs="Times New Roman"/>
          <w:spacing w:val="11"/>
          <w:sz w:val="21"/>
          <w:szCs w:val="21"/>
        </w:rPr>
        <w:t>)</w:t>
      </w:r>
      <w:r>
        <w:rPr>
          <w:rFonts w:ascii="宋体" w:hAnsi="宋体" w:eastAsia="宋体" w:cs="宋体"/>
          <w:spacing w:val="11"/>
          <w:sz w:val="21"/>
          <w:szCs w:val="21"/>
        </w:rPr>
        <w:t>长达</w:t>
      </w:r>
      <w:r>
        <w:rPr>
          <w:rFonts w:ascii="宋体" w:hAnsi="宋体" w:eastAsia="宋体" w:cs="宋体"/>
          <w:spacing w:val="7"/>
          <w:sz w:val="21"/>
          <w:szCs w:val="21"/>
        </w:rPr>
        <w:t>34年，全球变暖潜能值</w:t>
      </w:r>
      <w:r>
        <w:rPr>
          <w:rFonts w:ascii="Times New Roman" w:hAnsi="Times New Roman" w:eastAsia="Times New Roman" w:cs="Times New Roman"/>
          <w:spacing w:val="7"/>
          <w:sz w:val="21"/>
          <w:szCs w:val="21"/>
        </w:rPr>
        <w:t>(</w:t>
      </w:r>
      <w:r>
        <w:rPr>
          <w:rFonts w:ascii="Times New Roman" w:hAnsi="Times New Roman" w:eastAsia="Times New Roman" w:cs="Times New Roman"/>
          <w:sz w:val="21"/>
          <w:szCs w:val="21"/>
        </w:rPr>
        <w:t>GWP</w:t>
      </w:r>
      <w:r>
        <w:rPr>
          <w:rFonts w:ascii="Times New Roman" w:hAnsi="Times New Roman" w:eastAsia="Times New Roman" w:cs="Times New Roman"/>
          <w:spacing w:val="7"/>
          <w:sz w:val="21"/>
          <w:szCs w:val="21"/>
        </w:rPr>
        <w:t>)</w:t>
      </w:r>
      <w:r>
        <w:rPr>
          <w:rFonts w:ascii="宋体" w:hAnsi="宋体" w:eastAsia="宋体" w:cs="宋体"/>
          <w:spacing w:val="7"/>
          <w:sz w:val="21"/>
          <w:szCs w:val="21"/>
        </w:rPr>
        <w:t>高达3350(排放到大气中造</w:t>
      </w:r>
      <w:r>
        <w:rPr>
          <w:rFonts w:ascii="宋体" w:hAnsi="宋体" w:eastAsia="宋体" w:cs="宋体"/>
          <w:spacing w:val="6"/>
          <w:sz w:val="21"/>
          <w:szCs w:val="21"/>
        </w:rPr>
        <w:t>成的温室效应相当于同重量二氧化碳的3350</w:t>
      </w:r>
      <w:r>
        <w:rPr>
          <w:rFonts w:ascii="宋体" w:hAnsi="宋体" w:eastAsia="宋体" w:cs="宋体"/>
          <w:spacing w:val="5"/>
          <w:sz w:val="21"/>
          <w:szCs w:val="21"/>
        </w:rPr>
        <w:t>倍),将被逐步淘汰；而</w:t>
      </w:r>
      <w:r>
        <w:rPr>
          <w:rFonts w:ascii="宋体" w:hAnsi="宋体" w:eastAsia="宋体" w:cs="宋体"/>
          <w:spacing w:val="-1"/>
          <w:sz w:val="21"/>
          <w:szCs w:val="21"/>
        </w:rPr>
        <w:t>以IG-541、IG-100为代表的惰性气体灭火系统使用频率会成为</w:t>
      </w:r>
      <w:r>
        <w:rPr>
          <w:rFonts w:ascii="宋体" w:hAnsi="宋体" w:eastAsia="宋体" w:cs="宋体"/>
          <w:spacing w:val="2"/>
          <w:sz w:val="21"/>
          <w:szCs w:val="21"/>
        </w:rPr>
        <w:t>主流。</w:t>
      </w:r>
      <w:r>
        <w:rPr>
          <w:rFonts w:ascii="Times New Roman" w:hAnsi="Times New Roman" w:eastAsia="Times New Roman" w:cs="Times New Roman"/>
          <w:sz w:val="21"/>
          <w:szCs w:val="21"/>
        </w:rPr>
        <w:t>IG</w:t>
      </w:r>
      <w:r>
        <w:rPr>
          <w:rFonts w:ascii="Times New Roman" w:hAnsi="Times New Roman" w:eastAsia="Times New Roman" w:cs="Times New Roman"/>
          <w:spacing w:val="2"/>
          <w:sz w:val="21"/>
          <w:szCs w:val="21"/>
        </w:rPr>
        <w:t>-100</w:t>
      </w:r>
      <w:r>
        <w:rPr>
          <w:rFonts w:ascii="宋体" w:hAnsi="宋体" w:eastAsia="宋体" w:cs="宋体"/>
          <w:spacing w:val="2"/>
          <w:sz w:val="21"/>
          <w:szCs w:val="21"/>
        </w:rPr>
        <w:t>灭火系统近年来在国内民用建筑消防灭火领域使</w:t>
      </w:r>
      <w:r>
        <w:rPr>
          <w:rFonts w:ascii="宋体" w:hAnsi="宋体" w:eastAsia="宋体" w:cs="宋体"/>
          <w:spacing w:val="-7"/>
          <w:sz w:val="21"/>
          <w:szCs w:val="21"/>
        </w:rPr>
        <w:t>用越来越广泛，其中以15</w:t>
      </w:r>
      <w:r>
        <w:rPr>
          <w:rFonts w:ascii="Times New Roman" w:hAnsi="Times New Roman" w:eastAsia="Times New Roman" w:cs="Times New Roman"/>
          <w:spacing w:val="-7"/>
          <w:sz w:val="21"/>
          <w:szCs w:val="21"/>
        </w:rPr>
        <w:t>MPa</w:t>
      </w:r>
      <w:r>
        <w:rPr>
          <w:rFonts w:ascii="宋体" w:hAnsi="宋体" w:eastAsia="宋体" w:cs="宋体"/>
          <w:spacing w:val="-7"/>
          <w:sz w:val="21"/>
          <w:szCs w:val="21"/>
        </w:rPr>
        <w:t>、</w:t>
      </w:r>
      <w:r>
        <w:rPr>
          <w:rFonts w:ascii="Times New Roman" w:hAnsi="Times New Roman" w:eastAsia="Times New Roman" w:cs="Times New Roman"/>
          <w:spacing w:val="-7"/>
          <w:sz w:val="21"/>
          <w:szCs w:val="21"/>
        </w:rPr>
        <w:t>20MPa</w:t>
      </w:r>
      <w:r>
        <w:rPr>
          <w:rFonts w:ascii="宋体" w:hAnsi="宋体" w:eastAsia="宋体" w:cs="宋体"/>
          <w:spacing w:val="-7"/>
          <w:sz w:val="21"/>
          <w:szCs w:val="21"/>
        </w:rPr>
        <w:t>两种储存压力为主；国际</w:t>
      </w:r>
      <w:r>
        <w:rPr>
          <w:rFonts w:ascii="宋体" w:hAnsi="宋体" w:eastAsia="宋体" w:cs="宋体"/>
          <w:spacing w:val="-3"/>
          <w:sz w:val="21"/>
          <w:szCs w:val="21"/>
        </w:rPr>
        <w:t>上，</w:t>
      </w:r>
      <w:r>
        <w:rPr>
          <w:rFonts w:ascii="Times New Roman" w:hAnsi="Times New Roman" w:eastAsia="Times New Roman" w:cs="Times New Roman"/>
          <w:spacing w:val="-3"/>
          <w:sz w:val="21"/>
          <w:szCs w:val="21"/>
        </w:rPr>
        <w:t>IG-100</w:t>
      </w:r>
      <w:r>
        <w:rPr>
          <w:rFonts w:ascii="宋体" w:hAnsi="宋体" w:eastAsia="宋体" w:cs="宋体"/>
          <w:spacing w:val="-3"/>
          <w:sz w:val="21"/>
          <w:szCs w:val="21"/>
        </w:rPr>
        <w:t>灭火系统多采用20</w:t>
      </w:r>
      <w:r>
        <w:rPr>
          <w:rFonts w:ascii="Times New Roman" w:hAnsi="Times New Roman" w:eastAsia="Times New Roman" w:cs="Times New Roman"/>
          <w:spacing w:val="-3"/>
          <w:sz w:val="21"/>
          <w:szCs w:val="21"/>
        </w:rPr>
        <w:t>MPa</w:t>
      </w:r>
      <w:r>
        <w:rPr>
          <w:rFonts w:ascii="宋体" w:hAnsi="宋体" w:eastAsia="宋体" w:cs="宋体"/>
          <w:spacing w:val="-3"/>
          <w:sz w:val="21"/>
          <w:szCs w:val="21"/>
        </w:rPr>
        <w:t>、</w:t>
      </w:r>
      <w:r>
        <w:rPr>
          <w:rFonts w:ascii="Times New Roman" w:hAnsi="Times New Roman" w:eastAsia="Times New Roman" w:cs="Times New Roman"/>
          <w:spacing w:val="-3"/>
          <w:sz w:val="21"/>
          <w:szCs w:val="21"/>
        </w:rPr>
        <w:t>30MPa</w:t>
      </w:r>
      <w:r>
        <w:rPr>
          <w:rFonts w:ascii="宋体" w:hAnsi="宋体" w:eastAsia="宋体" w:cs="宋体"/>
          <w:spacing w:val="-3"/>
          <w:sz w:val="21"/>
          <w:szCs w:val="21"/>
        </w:rPr>
        <w:t>两种储存压力。关</w:t>
      </w:r>
      <w:r>
        <w:rPr>
          <w:rFonts w:ascii="宋体" w:hAnsi="宋体" w:eastAsia="宋体" w:cs="宋体"/>
          <w:spacing w:val="-1"/>
          <w:sz w:val="21"/>
          <w:szCs w:val="21"/>
        </w:rPr>
        <w:t>于30</w:t>
      </w:r>
      <w:r>
        <w:rPr>
          <w:rFonts w:ascii="Times New Roman" w:hAnsi="Times New Roman" w:eastAsia="Times New Roman" w:cs="Times New Roman"/>
          <w:spacing w:val="-1"/>
          <w:sz w:val="21"/>
          <w:szCs w:val="21"/>
        </w:rPr>
        <w:t>MPa</w:t>
      </w:r>
      <w:r>
        <w:rPr>
          <w:rFonts w:ascii="宋体" w:hAnsi="宋体" w:eastAsia="宋体" w:cs="宋体"/>
          <w:spacing w:val="-1"/>
          <w:sz w:val="21"/>
          <w:szCs w:val="21"/>
        </w:rPr>
        <w:t>储存压力的</w:t>
      </w:r>
      <w:r>
        <w:rPr>
          <w:rFonts w:ascii="Times New Roman" w:hAnsi="Times New Roman" w:eastAsia="Times New Roman" w:cs="Times New Roman"/>
          <w:spacing w:val="-1"/>
          <w:sz w:val="21"/>
          <w:szCs w:val="21"/>
        </w:rPr>
        <w:t>IG-100</w:t>
      </w:r>
      <w:r>
        <w:rPr>
          <w:rFonts w:ascii="宋体" w:hAnsi="宋体" w:eastAsia="宋体" w:cs="宋体"/>
          <w:spacing w:val="-1"/>
          <w:sz w:val="21"/>
          <w:szCs w:val="21"/>
        </w:rPr>
        <w:t>灭火系统，目前</w:t>
      </w:r>
      <w:r>
        <w:rPr>
          <w:rFonts w:ascii="宋体" w:hAnsi="宋体" w:eastAsia="宋体" w:cs="宋体"/>
          <w:spacing w:val="-2"/>
          <w:sz w:val="21"/>
          <w:szCs w:val="21"/>
        </w:rPr>
        <w:t>国内的民用建筑领</w:t>
      </w:r>
    </w:p>
    <w:p>
      <w:pPr>
        <w:spacing w:line="273" w:lineRule="auto"/>
        <w:rPr>
          <w:rFonts w:ascii="宋体" w:hAnsi="宋体" w:eastAsia="宋体" w:cs="宋体"/>
          <w:sz w:val="21"/>
          <w:szCs w:val="21"/>
        </w:rPr>
        <w:sectPr>
          <w:footerReference r:id="rId111" w:type="default"/>
          <w:pgSz w:w="8280" w:h="11850"/>
          <w:pgMar w:top="400" w:right="1210" w:bottom="1470" w:left="1190" w:header="0" w:footer="1197" w:gutter="0"/>
          <w:cols w:space="720" w:num="1"/>
        </w:sectPr>
      </w:pPr>
    </w:p>
    <w:p>
      <w:pPr>
        <w:pStyle w:val="2"/>
        <w:spacing w:line="347" w:lineRule="auto"/>
      </w:pPr>
    </w:p>
    <w:p>
      <w:pPr>
        <w:pStyle w:val="2"/>
        <w:spacing w:line="347" w:lineRule="auto"/>
      </w:pPr>
    </w:p>
    <w:p>
      <w:pPr>
        <w:spacing w:before="69" w:line="219" w:lineRule="auto"/>
        <w:rPr>
          <w:rFonts w:ascii="宋体" w:hAnsi="宋体" w:eastAsia="宋体" w:cs="宋体"/>
          <w:sz w:val="21"/>
          <w:szCs w:val="21"/>
        </w:rPr>
      </w:pPr>
      <w:r>
        <w:rPr>
          <w:rFonts w:ascii="宋体" w:hAnsi="宋体" w:eastAsia="宋体" w:cs="宋体"/>
          <w:spacing w:val="-4"/>
          <w:sz w:val="21"/>
          <w:szCs w:val="21"/>
        </w:rPr>
        <w:t>域基本未见使用，本标准采用的设计储存压力为20</w:t>
      </w:r>
      <w:r>
        <w:rPr>
          <w:rFonts w:ascii="Times New Roman" w:hAnsi="Times New Roman" w:eastAsia="Times New Roman" w:cs="Times New Roman"/>
          <w:spacing w:val="-4"/>
          <w:sz w:val="21"/>
          <w:szCs w:val="21"/>
        </w:rPr>
        <w:t>MPa</w:t>
      </w:r>
      <w:r>
        <w:rPr>
          <w:rFonts w:ascii="宋体" w:hAnsi="宋体" w:eastAsia="宋体" w:cs="宋体"/>
          <w:spacing w:val="-4"/>
          <w:sz w:val="21"/>
          <w:szCs w:val="21"/>
        </w:rPr>
        <w:t>。</w:t>
      </w:r>
    </w:p>
    <w:p>
      <w:pPr>
        <w:spacing w:before="73" w:line="259" w:lineRule="auto"/>
        <w:rPr>
          <w:rFonts w:ascii="宋体" w:hAnsi="宋体" w:eastAsia="宋体" w:cs="宋体"/>
          <w:sz w:val="21"/>
          <w:szCs w:val="21"/>
        </w:rPr>
      </w:pPr>
      <w:r>
        <w:rPr>
          <w:rFonts w:ascii="宋体" w:hAnsi="宋体" w:eastAsia="宋体" w:cs="宋体"/>
          <w:spacing w:val="-1"/>
          <w:sz w:val="21"/>
          <w:szCs w:val="21"/>
        </w:rPr>
        <w:t>8.1.3本条主要参照了现行国家标准《气体灭火系统设计规范》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50370</w:t>
      </w:r>
      <w:r>
        <w:rPr>
          <w:rFonts w:ascii="宋体" w:hAnsi="宋体" w:eastAsia="宋体" w:cs="宋体"/>
          <w:spacing w:val="3"/>
          <w:sz w:val="21"/>
          <w:szCs w:val="21"/>
        </w:rPr>
        <w:t>中的内容。氮气灭火系统还可适用于数据机房、贵重</w:t>
      </w:r>
      <w:r>
        <w:rPr>
          <w:rFonts w:ascii="宋体" w:hAnsi="宋体" w:eastAsia="宋体" w:cs="宋体"/>
          <w:spacing w:val="-11"/>
          <w:sz w:val="21"/>
          <w:szCs w:val="21"/>
        </w:rPr>
        <w:t>设备间、图书馆及档案馆、洁净厂房、石油化工、精密仪器、文物、</w:t>
      </w:r>
      <w:r>
        <w:rPr>
          <w:rFonts w:ascii="宋体" w:hAnsi="宋体" w:eastAsia="宋体" w:cs="宋体"/>
          <w:spacing w:val="-2"/>
          <w:sz w:val="21"/>
          <w:szCs w:val="21"/>
        </w:rPr>
        <w:t>带电设备和有人值班的场所。</w:t>
      </w:r>
    </w:p>
    <w:p>
      <w:pPr>
        <w:spacing w:before="89" w:line="261" w:lineRule="auto"/>
        <w:ind w:right="19"/>
        <w:rPr>
          <w:rFonts w:ascii="宋体" w:hAnsi="宋体" w:eastAsia="宋体" w:cs="宋体"/>
          <w:sz w:val="21"/>
          <w:szCs w:val="21"/>
        </w:rPr>
      </w:pPr>
      <w:r>
        <w:rPr>
          <w:rFonts w:ascii="宋体" w:hAnsi="宋体" w:eastAsia="宋体" w:cs="宋体"/>
          <w:spacing w:val="-1"/>
          <w:sz w:val="21"/>
          <w:szCs w:val="21"/>
        </w:rPr>
        <w:t>8.1.4本条主要参照了现行国家标准《气体灭火系统设计规范》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50370</w:t>
      </w:r>
      <w:r>
        <w:rPr>
          <w:rFonts w:ascii="宋体" w:hAnsi="宋体" w:eastAsia="宋体" w:cs="宋体"/>
          <w:spacing w:val="4"/>
          <w:sz w:val="21"/>
          <w:szCs w:val="21"/>
        </w:rPr>
        <w:t>中的内容。因缺乏试验数据，所以仍然保留了气体灭</w:t>
      </w:r>
      <w:r>
        <w:rPr>
          <w:rFonts w:ascii="宋体" w:hAnsi="宋体" w:eastAsia="宋体" w:cs="宋体"/>
          <w:spacing w:val="-1"/>
          <w:sz w:val="21"/>
          <w:szCs w:val="21"/>
        </w:rPr>
        <w:t>火系统不适用扑救可燃固体的深位火灾的规定。</w:t>
      </w:r>
    </w:p>
    <w:p>
      <w:pPr>
        <w:spacing w:before="209" w:line="222" w:lineRule="auto"/>
        <w:ind w:left="2350"/>
        <w:rPr>
          <w:rFonts w:ascii="仿宋" w:hAnsi="仿宋" w:eastAsia="仿宋" w:cs="仿宋"/>
          <w:sz w:val="21"/>
          <w:szCs w:val="21"/>
        </w:rPr>
      </w:pPr>
      <w:r>
        <w:rPr>
          <w:rFonts w:ascii="仿宋" w:hAnsi="仿宋" w:eastAsia="仿宋" w:cs="仿宋"/>
          <w:spacing w:val="-4"/>
          <w:sz w:val="21"/>
          <w:szCs w:val="21"/>
        </w:rPr>
        <w:t>Ⅱ系统设计</w:t>
      </w:r>
    </w:p>
    <w:p>
      <w:pPr>
        <w:spacing w:before="230" w:line="263" w:lineRule="auto"/>
        <w:ind w:right="80"/>
        <w:rPr>
          <w:rFonts w:ascii="宋体" w:hAnsi="宋体" w:eastAsia="宋体" w:cs="宋体"/>
          <w:sz w:val="21"/>
          <w:szCs w:val="21"/>
        </w:rPr>
      </w:pPr>
      <w:r>
        <w:rPr>
          <w:rFonts w:ascii="宋体" w:hAnsi="宋体" w:eastAsia="宋体" w:cs="宋体"/>
          <w:sz w:val="21"/>
          <w:szCs w:val="21"/>
        </w:rPr>
        <w:t>8.1.13存储容器的充装量与存储压力、容器大小等有关，也与</w:t>
      </w:r>
      <w:r>
        <w:rPr>
          <w:rFonts w:ascii="宋体" w:hAnsi="宋体" w:eastAsia="宋体" w:cs="宋体"/>
          <w:spacing w:val="-1"/>
          <w:sz w:val="21"/>
          <w:szCs w:val="21"/>
        </w:rPr>
        <w:t>充装公司的充装设备、充装人员以及充装公司的规定等有关，本条规定的是最低充装值。例如，现行广东省地方标准</w:t>
      </w:r>
      <w:r>
        <w:rPr>
          <w:rFonts w:ascii="宋体" w:hAnsi="宋体" w:eastAsia="宋体" w:cs="宋体"/>
          <w:spacing w:val="-2"/>
          <w:sz w:val="21"/>
          <w:szCs w:val="21"/>
        </w:rPr>
        <w:t>《氮气灭火</w:t>
      </w:r>
      <w:r>
        <w:rPr>
          <w:rFonts w:ascii="宋体" w:hAnsi="宋体" w:eastAsia="宋体" w:cs="宋体"/>
          <w:spacing w:val="5"/>
          <w:sz w:val="21"/>
          <w:szCs w:val="21"/>
        </w:rPr>
        <w:t>系统设计施工及验收规范》</w:t>
      </w:r>
      <w:r>
        <w:rPr>
          <w:rFonts w:ascii="Times New Roman" w:hAnsi="Times New Roman" w:eastAsia="Times New Roman" w:cs="Times New Roman"/>
          <w:sz w:val="21"/>
          <w:szCs w:val="21"/>
        </w:rPr>
        <w:t>DBJ</w:t>
      </w:r>
      <w:r>
        <w:rPr>
          <w:rFonts w:ascii="Times New Roman" w:hAnsi="Times New Roman" w:eastAsia="Times New Roman" w:cs="Times New Roman"/>
          <w:spacing w:val="5"/>
          <w:sz w:val="21"/>
          <w:szCs w:val="21"/>
        </w:rPr>
        <w:t>/T15—47—2022</w:t>
      </w:r>
      <w:r>
        <w:rPr>
          <w:rFonts w:ascii="宋体" w:hAnsi="宋体" w:eastAsia="宋体" w:cs="宋体"/>
          <w:spacing w:val="5"/>
          <w:sz w:val="21"/>
          <w:szCs w:val="21"/>
        </w:rPr>
        <w:t>第3.2.3条中</w:t>
      </w:r>
      <w:r>
        <w:rPr>
          <w:rFonts w:ascii="宋体" w:hAnsi="宋体" w:eastAsia="宋体" w:cs="宋体"/>
          <w:spacing w:val="-1"/>
          <w:sz w:val="21"/>
          <w:szCs w:val="21"/>
        </w:rPr>
        <w:t>规定的充装量为234.3</w:t>
      </w:r>
      <w:r>
        <w:rPr>
          <w:rFonts w:ascii="Times New Roman" w:hAnsi="Times New Roman" w:eastAsia="Times New Roman" w:cs="Times New Roman"/>
          <w:spacing w:val="-1"/>
          <w:sz w:val="21"/>
          <w:szCs w:val="21"/>
        </w:rPr>
        <w:t>kg/m³</w:t>
      </w:r>
      <w:r>
        <w:rPr>
          <w:rFonts w:ascii="宋体" w:hAnsi="宋体" w:eastAsia="宋体" w:cs="宋体"/>
          <w:spacing w:val="-1"/>
          <w:sz w:val="21"/>
          <w:szCs w:val="21"/>
        </w:rPr>
        <w:t>。</w:t>
      </w:r>
    </w:p>
    <w:p>
      <w:pPr>
        <w:pStyle w:val="2"/>
        <w:spacing w:line="339" w:lineRule="auto"/>
      </w:pPr>
    </w:p>
    <w:p>
      <w:pPr>
        <w:spacing w:before="68" w:line="219" w:lineRule="auto"/>
        <w:ind w:left="1962"/>
        <w:rPr>
          <w:rFonts w:ascii="宋体" w:hAnsi="宋体" w:eastAsia="宋体" w:cs="宋体"/>
          <w:sz w:val="21"/>
          <w:szCs w:val="21"/>
        </w:rPr>
      </w:pPr>
      <w:r>
        <w:rPr>
          <w:rFonts w:ascii="宋体" w:hAnsi="宋体" w:eastAsia="宋体" w:cs="宋体"/>
          <w:b/>
          <w:bCs/>
          <w:spacing w:val="-3"/>
          <w:sz w:val="21"/>
          <w:szCs w:val="21"/>
        </w:rPr>
        <w:t>8.2探火管灭火装置</w:t>
      </w:r>
    </w:p>
    <w:p>
      <w:pPr>
        <w:pStyle w:val="2"/>
        <w:spacing w:line="314" w:lineRule="auto"/>
      </w:pPr>
    </w:p>
    <w:p>
      <w:pPr>
        <w:spacing w:before="68" w:line="269" w:lineRule="auto"/>
        <w:ind w:right="107"/>
        <w:rPr>
          <w:rFonts w:ascii="宋体" w:hAnsi="宋体" w:eastAsia="宋体" w:cs="宋体"/>
          <w:sz w:val="17"/>
          <w:szCs w:val="17"/>
        </w:rPr>
      </w:pPr>
      <w:r>
        <w:rPr>
          <w:rFonts w:ascii="宋体" w:hAnsi="宋体" w:eastAsia="宋体" w:cs="宋体"/>
          <w:spacing w:val="3"/>
          <w:sz w:val="21"/>
          <w:szCs w:val="21"/>
        </w:rPr>
        <w:t>8.2.1本条所列的灭火剂是现有的探火管灭火装置产</w:t>
      </w:r>
      <w:r>
        <w:rPr>
          <w:rFonts w:ascii="宋体" w:hAnsi="宋体" w:eastAsia="宋体" w:cs="宋体"/>
          <w:spacing w:val="2"/>
          <w:sz w:val="21"/>
          <w:szCs w:val="21"/>
        </w:rPr>
        <w:t>品所使用</w:t>
      </w:r>
      <w:r>
        <w:rPr>
          <w:rFonts w:ascii="宋体" w:hAnsi="宋体" w:eastAsia="宋体" w:cs="宋体"/>
          <w:spacing w:val="15"/>
          <w:sz w:val="21"/>
          <w:szCs w:val="21"/>
        </w:rPr>
        <w:t>的，其他未列入国家标准和使用许可的灭火剂应经过论证后</w:t>
      </w:r>
      <w:r>
        <w:rPr>
          <w:rFonts w:ascii="宋体" w:hAnsi="宋体" w:eastAsia="宋体" w:cs="宋体"/>
          <w:spacing w:val="-6"/>
          <w:sz w:val="17"/>
          <w:szCs w:val="17"/>
        </w:rPr>
        <w:t>使用。</w:t>
      </w:r>
    </w:p>
    <w:p>
      <w:pPr>
        <w:spacing w:before="88" w:line="219" w:lineRule="auto"/>
        <w:ind w:left="3"/>
        <w:rPr>
          <w:rFonts w:ascii="宋体" w:hAnsi="宋体" w:eastAsia="宋体" w:cs="宋体"/>
          <w:sz w:val="21"/>
          <w:szCs w:val="21"/>
        </w:rPr>
      </w:pPr>
      <w:r>
        <w:rPr>
          <w:rFonts w:ascii="宋体" w:hAnsi="宋体" w:eastAsia="宋体" w:cs="宋体"/>
          <w:b/>
          <w:bCs/>
          <w:spacing w:val="-2"/>
          <w:sz w:val="21"/>
          <w:szCs w:val="21"/>
        </w:rPr>
        <w:t>8.2.2</w:t>
      </w:r>
      <w:r>
        <w:rPr>
          <w:rFonts w:ascii="宋体" w:hAnsi="宋体" w:eastAsia="宋体" w:cs="宋体"/>
          <w:spacing w:val="-2"/>
          <w:sz w:val="21"/>
          <w:szCs w:val="21"/>
        </w:rPr>
        <w:t>本条规定了探火管灭火装置的应用方式和装置型式。</w:t>
      </w:r>
    </w:p>
    <w:p>
      <w:pPr>
        <w:spacing w:before="70" w:line="274" w:lineRule="auto"/>
        <w:ind w:right="27" w:firstLine="460"/>
        <w:jc w:val="both"/>
        <w:rPr>
          <w:rFonts w:ascii="宋体" w:hAnsi="宋体" w:eastAsia="宋体" w:cs="宋体"/>
          <w:sz w:val="21"/>
          <w:szCs w:val="21"/>
        </w:rPr>
      </w:pPr>
      <w:r>
        <w:rPr>
          <w:rFonts w:ascii="宋体" w:hAnsi="宋体" w:eastAsia="宋体" w:cs="宋体"/>
          <w:spacing w:val="-10"/>
          <w:sz w:val="21"/>
          <w:szCs w:val="21"/>
        </w:rPr>
        <w:t>依据现行国家标准《气体灭火系统设计规范》</w:t>
      </w:r>
      <w:r>
        <w:rPr>
          <w:rFonts w:ascii="Times New Roman" w:hAnsi="Times New Roman" w:eastAsia="Times New Roman" w:cs="Times New Roman"/>
          <w:spacing w:val="-10"/>
          <w:sz w:val="21"/>
          <w:szCs w:val="21"/>
        </w:rPr>
        <w:t>GB50370</w:t>
      </w:r>
      <w:r>
        <w:rPr>
          <w:rFonts w:ascii="宋体" w:hAnsi="宋体" w:eastAsia="宋体" w:cs="宋体"/>
          <w:spacing w:val="-10"/>
          <w:sz w:val="21"/>
          <w:szCs w:val="21"/>
        </w:rPr>
        <w:t>、《二</w:t>
      </w:r>
      <w:r>
        <w:rPr>
          <w:rFonts w:ascii="宋体" w:hAnsi="宋体" w:eastAsia="宋体" w:cs="宋体"/>
          <w:spacing w:val="-5"/>
          <w:sz w:val="21"/>
          <w:szCs w:val="21"/>
        </w:rPr>
        <w:t>氧化碳灭火系统设计规范》</w:t>
      </w:r>
      <w:r>
        <w:rPr>
          <w:rFonts w:ascii="Times New Roman" w:hAnsi="Times New Roman" w:eastAsia="Times New Roman" w:cs="Times New Roman"/>
          <w:spacing w:val="-5"/>
          <w:sz w:val="21"/>
          <w:szCs w:val="21"/>
        </w:rPr>
        <w:t>GB50193</w:t>
      </w:r>
      <w:r>
        <w:rPr>
          <w:rFonts w:ascii="宋体" w:hAnsi="宋体" w:eastAsia="宋体" w:cs="宋体"/>
          <w:spacing w:val="-5"/>
          <w:sz w:val="21"/>
          <w:szCs w:val="21"/>
        </w:rPr>
        <w:t>、《</w:t>
      </w:r>
      <w:r>
        <w:rPr>
          <w:rFonts w:ascii="宋体" w:hAnsi="宋体" w:eastAsia="宋体" w:cs="宋体"/>
          <w:spacing w:val="-6"/>
          <w:sz w:val="21"/>
          <w:szCs w:val="21"/>
        </w:rPr>
        <w:t>干粉灭火系统设计规范》</w:t>
      </w:r>
      <w:r>
        <w:rPr>
          <w:rFonts w:ascii="Times New Roman" w:hAnsi="Times New Roman" w:eastAsia="Times New Roman" w:cs="Times New Roman"/>
          <w:spacing w:val="-4"/>
          <w:sz w:val="21"/>
          <w:szCs w:val="21"/>
        </w:rPr>
        <w:t>GB50347</w:t>
      </w:r>
      <w:r>
        <w:rPr>
          <w:rFonts w:ascii="宋体" w:hAnsi="宋体" w:eastAsia="宋体" w:cs="宋体"/>
          <w:spacing w:val="-4"/>
          <w:sz w:val="21"/>
          <w:szCs w:val="21"/>
        </w:rPr>
        <w:t>和现行行业标准《探火管式灭火装置》</w:t>
      </w:r>
      <w:r>
        <w:rPr>
          <w:rFonts w:ascii="Times New Roman" w:hAnsi="Times New Roman" w:eastAsia="Times New Roman" w:cs="Times New Roman"/>
          <w:spacing w:val="-4"/>
          <w:sz w:val="21"/>
          <w:szCs w:val="21"/>
        </w:rPr>
        <w:t>XF1167</w:t>
      </w:r>
      <w:r>
        <w:rPr>
          <w:rFonts w:ascii="宋体" w:hAnsi="宋体" w:eastAsia="宋体" w:cs="宋体"/>
          <w:spacing w:val="-4"/>
          <w:sz w:val="21"/>
          <w:szCs w:val="21"/>
        </w:rPr>
        <w:t>的有关</w:t>
      </w:r>
      <w:r>
        <w:rPr>
          <w:rFonts w:ascii="宋体" w:hAnsi="宋体" w:eastAsia="宋体" w:cs="宋体"/>
          <w:spacing w:val="-7"/>
          <w:sz w:val="21"/>
          <w:szCs w:val="21"/>
        </w:rPr>
        <w:t>规定，并参考市场上的产品特性确定。</w:t>
      </w:r>
    </w:p>
    <w:p>
      <w:pPr>
        <w:spacing w:before="27" w:line="273" w:lineRule="auto"/>
        <w:ind w:right="102" w:firstLine="450"/>
        <w:jc w:val="both"/>
        <w:rPr>
          <w:rFonts w:ascii="宋体" w:hAnsi="宋体" w:eastAsia="宋体" w:cs="宋体"/>
          <w:sz w:val="21"/>
          <w:szCs w:val="21"/>
        </w:rPr>
      </w:pPr>
      <w:r>
        <w:rPr>
          <w:rFonts w:ascii="宋体" w:hAnsi="宋体" w:eastAsia="宋体" w:cs="宋体"/>
          <w:spacing w:val="7"/>
          <w:sz w:val="21"/>
          <w:szCs w:val="21"/>
        </w:rPr>
        <w:t>直接式探火管灭火装置是将探火管作为火灾</w:t>
      </w:r>
      <w:r>
        <w:rPr>
          <w:rFonts w:ascii="宋体" w:hAnsi="宋体" w:eastAsia="宋体" w:cs="宋体"/>
          <w:spacing w:val="6"/>
          <w:sz w:val="21"/>
          <w:szCs w:val="21"/>
        </w:rPr>
        <w:t>探测、装置启</w:t>
      </w:r>
      <w:r>
        <w:rPr>
          <w:rFonts w:ascii="宋体" w:hAnsi="宋体" w:eastAsia="宋体" w:cs="宋体"/>
          <w:spacing w:val="-1"/>
          <w:sz w:val="21"/>
          <w:szCs w:val="21"/>
        </w:rPr>
        <w:t>动、灭火剂释放部件的灭火装置；间接式探火管灭火</w:t>
      </w:r>
      <w:r>
        <w:rPr>
          <w:rFonts w:ascii="宋体" w:hAnsi="宋体" w:eastAsia="宋体" w:cs="宋体"/>
          <w:spacing w:val="-2"/>
          <w:sz w:val="21"/>
          <w:szCs w:val="21"/>
        </w:rPr>
        <w:t>装置是将探</w:t>
      </w:r>
      <w:r>
        <w:rPr>
          <w:rFonts w:ascii="宋体" w:hAnsi="宋体" w:eastAsia="宋体" w:cs="宋体"/>
          <w:spacing w:val="-8"/>
          <w:sz w:val="21"/>
          <w:szCs w:val="21"/>
        </w:rPr>
        <w:t>火管作为火灾探测、装置启动部件，释放管、喷头作为灭火</w:t>
      </w:r>
      <w:r>
        <w:rPr>
          <w:rFonts w:ascii="宋体" w:hAnsi="宋体" w:eastAsia="宋体" w:cs="宋体"/>
          <w:spacing w:val="-9"/>
          <w:sz w:val="21"/>
          <w:szCs w:val="21"/>
        </w:rPr>
        <w:t>剂释放</w:t>
      </w:r>
    </w:p>
    <w:p>
      <w:pPr>
        <w:spacing w:line="273" w:lineRule="auto"/>
        <w:rPr>
          <w:rFonts w:ascii="宋体" w:hAnsi="宋体" w:eastAsia="宋体" w:cs="宋体"/>
          <w:sz w:val="21"/>
          <w:szCs w:val="21"/>
        </w:rPr>
        <w:sectPr>
          <w:footerReference r:id="rId112" w:type="default"/>
          <w:pgSz w:w="8280" w:h="11850"/>
          <w:pgMar w:top="400" w:right="1117" w:bottom="1480" w:left="1190" w:header="0" w:footer="1207" w:gutter="0"/>
          <w:cols w:space="720" w:num="1"/>
        </w:sectPr>
      </w:pPr>
    </w:p>
    <w:p>
      <w:pPr>
        <w:pStyle w:val="2"/>
        <w:spacing w:line="251" w:lineRule="auto"/>
      </w:pPr>
    </w:p>
    <w:p>
      <w:pPr>
        <w:pStyle w:val="2"/>
        <w:spacing w:line="252" w:lineRule="auto"/>
      </w:pPr>
    </w:p>
    <w:p>
      <w:pPr>
        <w:pStyle w:val="2"/>
        <w:spacing w:line="252" w:lineRule="auto"/>
      </w:pPr>
    </w:p>
    <w:p>
      <w:pPr>
        <w:spacing w:before="69" w:line="219" w:lineRule="auto"/>
        <w:rPr>
          <w:rFonts w:ascii="宋体" w:hAnsi="宋体" w:eastAsia="宋体" w:cs="宋体"/>
          <w:sz w:val="21"/>
          <w:szCs w:val="21"/>
        </w:rPr>
      </w:pPr>
      <w:r>
        <w:rPr>
          <w:rFonts w:ascii="宋体" w:hAnsi="宋体" w:eastAsia="宋体" w:cs="宋体"/>
          <w:spacing w:val="-5"/>
          <w:sz w:val="21"/>
          <w:szCs w:val="21"/>
        </w:rPr>
        <w:t>部件的灭火装置。</w:t>
      </w:r>
    </w:p>
    <w:p>
      <w:pPr>
        <w:spacing w:before="49" w:line="261" w:lineRule="auto"/>
        <w:ind w:right="20"/>
        <w:rPr>
          <w:rFonts w:ascii="宋体" w:hAnsi="宋体" w:eastAsia="宋体" w:cs="宋体"/>
          <w:sz w:val="21"/>
          <w:szCs w:val="21"/>
        </w:rPr>
      </w:pPr>
      <w:r>
        <w:rPr>
          <w:rFonts w:ascii="宋体" w:hAnsi="宋体" w:eastAsia="宋体" w:cs="宋体"/>
          <w:spacing w:val="-1"/>
          <w:sz w:val="21"/>
          <w:szCs w:val="21"/>
        </w:rPr>
        <w:t>8.2.3选用探火管灭火装置时，采用的系统型式、灭火剂类型、</w:t>
      </w:r>
      <w:r>
        <w:rPr>
          <w:rFonts w:ascii="宋体" w:hAnsi="宋体" w:eastAsia="宋体" w:cs="宋体"/>
          <w:sz w:val="21"/>
          <w:szCs w:val="21"/>
        </w:rPr>
        <w:t>探火管和喷头的布置、灭火剂设计用量等，应与被保护对象火灾</w:t>
      </w:r>
      <w:r>
        <w:rPr>
          <w:rFonts w:ascii="宋体" w:hAnsi="宋体" w:eastAsia="宋体" w:cs="宋体"/>
          <w:spacing w:val="-6"/>
          <w:sz w:val="21"/>
          <w:szCs w:val="21"/>
        </w:rPr>
        <w:t>特点相适应。</w:t>
      </w:r>
    </w:p>
    <w:p>
      <w:pPr>
        <w:spacing w:before="79" w:line="262" w:lineRule="auto"/>
        <w:ind w:right="103"/>
        <w:rPr>
          <w:rFonts w:ascii="宋体" w:hAnsi="宋体" w:eastAsia="宋体" w:cs="宋体"/>
          <w:sz w:val="21"/>
          <w:szCs w:val="21"/>
        </w:rPr>
      </w:pPr>
      <w:r>
        <w:rPr>
          <w:rFonts w:ascii="宋体" w:hAnsi="宋体" w:eastAsia="宋体" w:cs="宋体"/>
          <w:spacing w:val="3"/>
          <w:sz w:val="21"/>
          <w:szCs w:val="21"/>
        </w:rPr>
        <w:t>8.2.4本条规定了全淹没应用方式防护区的最大容积。现行国</w:t>
      </w:r>
      <w:r>
        <w:rPr>
          <w:rFonts w:ascii="宋体" w:hAnsi="宋体" w:eastAsia="宋体" w:cs="宋体"/>
          <w:spacing w:val="-7"/>
          <w:sz w:val="21"/>
          <w:szCs w:val="21"/>
        </w:rPr>
        <w:t>家标准《气体灭火系统设计规范》GB50370、《二氧化碳灭火系统</w:t>
      </w:r>
      <w:r>
        <w:rPr>
          <w:rFonts w:ascii="宋体" w:hAnsi="宋体" w:eastAsia="宋体" w:cs="宋体"/>
          <w:spacing w:val="-6"/>
          <w:sz w:val="21"/>
          <w:szCs w:val="21"/>
        </w:rPr>
        <w:t>设计规范》</w:t>
      </w:r>
      <w:r>
        <w:rPr>
          <w:rFonts w:ascii="Times New Roman" w:hAnsi="Times New Roman" w:eastAsia="Times New Roman" w:cs="Times New Roman"/>
          <w:spacing w:val="-6"/>
          <w:sz w:val="21"/>
          <w:szCs w:val="21"/>
        </w:rPr>
        <w:t>GB50193</w:t>
      </w:r>
      <w:r>
        <w:rPr>
          <w:rFonts w:ascii="宋体" w:hAnsi="宋体" w:eastAsia="宋体" w:cs="宋体"/>
          <w:spacing w:val="-6"/>
          <w:sz w:val="21"/>
          <w:szCs w:val="21"/>
        </w:rPr>
        <w:t>和《干粉灭火系统设计规范》</w:t>
      </w:r>
      <w:r>
        <w:rPr>
          <w:rFonts w:ascii="Times New Roman" w:hAnsi="Times New Roman" w:eastAsia="Times New Roman" w:cs="Times New Roman"/>
          <w:spacing w:val="-6"/>
          <w:sz w:val="21"/>
          <w:szCs w:val="21"/>
        </w:rPr>
        <w:t>GB50347</w:t>
      </w:r>
      <w:r>
        <w:rPr>
          <w:rFonts w:ascii="宋体" w:hAnsi="宋体" w:eastAsia="宋体" w:cs="宋体"/>
          <w:spacing w:val="-6"/>
          <w:sz w:val="21"/>
          <w:szCs w:val="21"/>
        </w:rPr>
        <w:t>均按</w:t>
      </w:r>
      <w:r>
        <w:rPr>
          <w:rFonts w:ascii="宋体" w:hAnsi="宋体" w:eastAsia="宋体" w:cs="宋体"/>
          <w:spacing w:val="-1"/>
          <w:sz w:val="21"/>
          <w:szCs w:val="21"/>
        </w:rPr>
        <w:t>照灭火浓度来确定灭火剂储存容量，并根据市场现有的探火管装置产品的最大充装量来确定防护区最大容积。</w:t>
      </w:r>
    </w:p>
    <w:p>
      <w:pPr>
        <w:spacing w:before="98" w:line="274" w:lineRule="auto"/>
        <w:ind w:right="94" w:firstLine="439"/>
        <w:jc w:val="both"/>
        <w:rPr>
          <w:rFonts w:ascii="宋体" w:hAnsi="宋体" w:eastAsia="宋体" w:cs="宋体"/>
          <w:sz w:val="21"/>
          <w:szCs w:val="21"/>
        </w:rPr>
      </w:pPr>
      <w:r>
        <w:rPr>
          <w:rFonts w:ascii="宋体" w:hAnsi="宋体" w:eastAsia="宋体" w:cs="宋体"/>
          <w:spacing w:val="-1"/>
          <w:sz w:val="21"/>
          <w:szCs w:val="21"/>
        </w:rPr>
        <w:t>二氧化碳、七氟丙烷和干粉灭火剂均比空气重，为防止喷放后下沉从底部流失，规定防护区底面不能有开口，且依据现行国</w:t>
      </w:r>
      <w:r>
        <w:rPr>
          <w:rFonts w:ascii="宋体" w:hAnsi="宋体" w:eastAsia="宋体" w:cs="宋体"/>
          <w:spacing w:val="-4"/>
          <w:sz w:val="21"/>
          <w:szCs w:val="21"/>
        </w:rPr>
        <w:t>家标准《二氧化碳灭火系统设计规范》GB50193和《干粉灭火系</w:t>
      </w:r>
      <w:r>
        <w:rPr>
          <w:rFonts w:ascii="宋体" w:hAnsi="宋体" w:eastAsia="宋体" w:cs="宋体"/>
          <w:spacing w:val="-3"/>
          <w:sz w:val="21"/>
          <w:szCs w:val="21"/>
        </w:rPr>
        <w:t>统设计规范》</w:t>
      </w:r>
      <w:r>
        <w:rPr>
          <w:rFonts w:ascii="Times New Roman" w:hAnsi="Times New Roman" w:eastAsia="Times New Roman" w:cs="Times New Roman"/>
          <w:spacing w:val="-3"/>
          <w:sz w:val="21"/>
          <w:szCs w:val="21"/>
        </w:rPr>
        <w:t>GB50347</w:t>
      </w:r>
      <w:r>
        <w:rPr>
          <w:rFonts w:ascii="宋体" w:hAnsi="宋体" w:eastAsia="宋体" w:cs="宋体"/>
          <w:spacing w:val="-3"/>
          <w:sz w:val="21"/>
          <w:szCs w:val="21"/>
        </w:rPr>
        <w:t>的相关要求，规定防护区的开口面积不能</w:t>
      </w:r>
      <w:r>
        <w:rPr>
          <w:rFonts w:ascii="宋体" w:hAnsi="宋体" w:eastAsia="宋体" w:cs="宋体"/>
          <w:spacing w:val="27"/>
          <w:sz w:val="21"/>
          <w:szCs w:val="21"/>
        </w:rPr>
        <w:t>大于1%。</w:t>
      </w:r>
    </w:p>
    <w:p>
      <w:pPr>
        <w:spacing w:before="12" w:line="256" w:lineRule="auto"/>
        <w:ind w:firstLine="3"/>
        <w:rPr>
          <w:rFonts w:ascii="宋体" w:hAnsi="宋体" w:eastAsia="宋体" w:cs="宋体"/>
          <w:sz w:val="21"/>
          <w:szCs w:val="21"/>
        </w:rPr>
      </w:pPr>
      <w:r>
        <w:rPr>
          <w:rFonts w:ascii="宋体" w:hAnsi="宋体" w:eastAsia="宋体" w:cs="宋体"/>
          <w:b/>
          <w:bCs/>
          <w:spacing w:val="6"/>
          <w:sz w:val="21"/>
          <w:szCs w:val="21"/>
        </w:rPr>
        <w:t>8.2.5</w:t>
      </w:r>
      <w:r>
        <w:rPr>
          <w:rFonts w:ascii="宋体" w:hAnsi="宋体" w:eastAsia="宋体" w:cs="宋体"/>
          <w:spacing w:val="6"/>
          <w:sz w:val="21"/>
          <w:szCs w:val="21"/>
        </w:rPr>
        <w:t>本条是引用了现行国家标准《干粉灭火系统设计规范》</w:t>
      </w:r>
      <w:r>
        <w:rPr>
          <w:rFonts w:ascii="Times New Roman" w:hAnsi="Times New Roman" w:eastAsia="Times New Roman" w:cs="Times New Roman"/>
          <w:spacing w:val="-2"/>
          <w:sz w:val="21"/>
          <w:szCs w:val="21"/>
        </w:rPr>
        <w:t>GB50347</w:t>
      </w:r>
      <w:r>
        <w:rPr>
          <w:rFonts w:ascii="宋体" w:hAnsi="宋体" w:eastAsia="宋体" w:cs="宋体"/>
          <w:spacing w:val="-2"/>
          <w:sz w:val="21"/>
          <w:szCs w:val="21"/>
        </w:rPr>
        <w:t>的相关规定。</w:t>
      </w:r>
    </w:p>
    <w:p>
      <w:pPr>
        <w:spacing w:before="46" w:line="266" w:lineRule="auto"/>
        <w:ind w:right="112"/>
        <w:rPr>
          <w:rFonts w:ascii="宋体" w:hAnsi="宋体" w:eastAsia="宋体" w:cs="宋体"/>
          <w:sz w:val="21"/>
          <w:szCs w:val="21"/>
        </w:rPr>
      </w:pPr>
      <w:r>
        <w:rPr>
          <w:rFonts w:ascii="宋体" w:hAnsi="宋体" w:eastAsia="宋体" w:cs="宋体"/>
          <w:spacing w:val="-4"/>
          <w:sz w:val="21"/>
          <w:szCs w:val="21"/>
        </w:rPr>
        <w:t>8.2.7探火管的爆破口形状、方向是不规则和不确定的，对于没</w:t>
      </w:r>
      <w:r>
        <w:rPr>
          <w:rFonts w:ascii="宋体" w:hAnsi="宋体" w:eastAsia="宋体" w:cs="宋体"/>
          <w:spacing w:val="-1"/>
          <w:sz w:val="21"/>
          <w:szCs w:val="21"/>
        </w:rPr>
        <w:t>有围合结构的保护对象，直接式探火管灭火装置无法保证灭火剂</w:t>
      </w:r>
      <w:r>
        <w:rPr>
          <w:rFonts w:ascii="宋体" w:hAnsi="宋体" w:eastAsia="宋体" w:cs="宋体"/>
          <w:sz w:val="21"/>
          <w:szCs w:val="21"/>
        </w:rPr>
        <w:t>对保护对象的直接喷射和淹没，故本条规定</w:t>
      </w:r>
      <w:r>
        <w:rPr>
          <w:rFonts w:ascii="宋体" w:hAnsi="宋体" w:eastAsia="宋体" w:cs="宋体"/>
          <w:spacing w:val="-1"/>
          <w:sz w:val="21"/>
          <w:szCs w:val="21"/>
        </w:rPr>
        <w:t>无围合结构敞开局部空间应用方式应采用间接式探火管灭火装置。</w:t>
      </w:r>
    </w:p>
    <w:p>
      <w:pPr>
        <w:spacing w:before="62" w:line="276" w:lineRule="auto"/>
        <w:rPr>
          <w:rFonts w:ascii="宋体" w:hAnsi="宋体" w:eastAsia="宋体" w:cs="宋体"/>
          <w:sz w:val="17"/>
          <w:szCs w:val="17"/>
        </w:rPr>
      </w:pPr>
      <w:r>
        <w:rPr>
          <w:rFonts w:ascii="宋体" w:hAnsi="宋体" w:eastAsia="宋体" w:cs="宋体"/>
          <w:spacing w:val="14"/>
          <w:sz w:val="21"/>
          <w:szCs w:val="21"/>
        </w:rPr>
        <w:t>8.2.8本条是依据现行国家标准《气体灭火系统设计规</w:t>
      </w:r>
      <w:r>
        <w:rPr>
          <w:rFonts w:ascii="宋体" w:hAnsi="宋体" w:eastAsia="宋体" w:cs="宋体"/>
          <w:spacing w:val="13"/>
          <w:sz w:val="21"/>
          <w:szCs w:val="21"/>
        </w:rPr>
        <w:t>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50370</w:t>
      </w:r>
      <w:r>
        <w:rPr>
          <w:rFonts w:ascii="宋体" w:hAnsi="宋体" w:eastAsia="宋体" w:cs="宋体"/>
          <w:spacing w:val="1"/>
          <w:sz w:val="21"/>
          <w:szCs w:val="21"/>
        </w:rPr>
        <w:t>和《二氧化碳灭火系统设计规范》</w:t>
      </w:r>
      <w:r>
        <w:rPr>
          <w:rFonts w:ascii="Times New Roman" w:hAnsi="Times New Roman" w:eastAsia="Times New Roman" w:cs="Times New Roman"/>
          <w:sz w:val="21"/>
          <w:szCs w:val="21"/>
        </w:rPr>
        <w:t>GB50193</w:t>
      </w:r>
      <w:r>
        <w:rPr>
          <w:rFonts w:ascii="宋体" w:hAnsi="宋体" w:eastAsia="宋体" w:cs="宋体"/>
          <w:sz w:val="21"/>
          <w:szCs w:val="21"/>
        </w:rPr>
        <w:t>的规定制</w:t>
      </w:r>
      <w:r>
        <w:rPr>
          <w:rFonts w:ascii="宋体" w:hAnsi="宋体" w:eastAsia="宋体" w:cs="宋体"/>
          <w:spacing w:val="-11"/>
          <w:sz w:val="17"/>
          <w:szCs w:val="17"/>
        </w:rPr>
        <w:t>定的。</w:t>
      </w:r>
    </w:p>
    <w:p>
      <w:pPr>
        <w:spacing w:before="68" w:line="271" w:lineRule="auto"/>
        <w:ind w:right="112"/>
        <w:rPr>
          <w:rFonts w:ascii="宋体" w:hAnsi="宋体" w:eastAsia="宋体" w:cs="宋体"/>
          <w:sz w:val="21"/>
          <w:szCs w:val="21"/>
        </w:rPr>
      </w:pPr>
      <w:r>
        <w:rPr>
          <w:rFonts w:ascii="宋体" w:hAnsi="宋体" w:eastAsia="宋体" w:cs="宋体"/>
          <w:spacing w:val="-1"/>
          <w:sz w:val="21"/>
          <w:szCs w:val="21"/>
        </w:rPr>
        <w:t>8.2.10产品参数(质量证明文件)应按照现行行业标准《探火管</w:t>
      </w:r>
      <w:r>
        <w:rPr>
          <w:rFonts w:ascii="宋体" w:hAnsi="宋体" w:eastAsia="宋体" w:cs="宋体"/>
          <w:spacing w:val="-5"/>
          <w:sz w:val="21"/>
          <w:szCs w:val="21"/>
        </w:rPr>
        <w:t>式灭火装置》</w:t>
      </w:r>
      <w:r>
        <w:rPr>
          <w:rFonts w:ascii="Times New Roman" w:hAnsi="Times New Roman" w:eastAsia="Times New Roman" w:cs="Times New Roman"/>
          <w:spacing w:val="-5"/>
          <w:sz w:val="21"/>
          <w:szCs w:val="21"/>
        </w:rPr>
        <w:t>XF1167</w:t>
      </w:r>
      <w:r>
        <w:rPr>
          <w:rFonts w:ascii="宋体" w:hAnsi="宋体" w:eastAsia="宋体" w:cs="宋体"/>
          <w:spacing w:val="-5"/>
          <w:sz w:val="21"/>
          <w:szCs w:val="21"/>
        </w:rPr>
        <w:t>规定的试验方法通过灭火试</w:t>
      </w:r>
      <w:r>
        <w:rPr>
          <w:rFonts w:ascii="宋体" w:hAnsi="宋体" w:eastAsia="宋体" w:cs="宋体"/>
          <w:spacing w:val="-6"/>
          <w:sz w:val="21"/>
          <w:szCs w:val="21"/>
        </w:rPr>
        <w:t>验取得，并以产</w:t>
      </w:r>
      <w:r>
        <w:rPr>
          <w:rFonts w:ascii="宋体" w:hAnsi="宋体" w:eastAsia="宋体" w:cs="宋体"/>
          <w:spacing w:val="7"/>
          <w:sz w:val="21"/>
          <w:szCs w:val="21"/>
        </w:rPr>
        <w:t>品型式检验报告或技术鉴定等符合国家规定的产品质量证明文</w:t>
      </w:r>
      <w:r>
        <w:rPr>
          <w:rFonts w:ascii="宋体" w:hAnsi="宋体" w:eastAsia="宋体" w:cs="宋体"/>
          <w:sz w:val="21"/>
          <w:szCs w:val="21"/>
        </w:rPr>
        <w:t>件确认。不同的产品，其贮存钢瓶容积、贮</w:t>
      </w:r>
      <w:r>
        <w:rPr>
          <w:rFonts w:ascii="宋体" w:hAnsi="宋体" w:eastAsia="宋体" w:cs="宋体"/>
          <w:spacing w:val="-1"/>
          <w:sz w:val="21"/>
          <w:szCs w:val="21"/>
        </w:rPr>
        <w:t>存压力、喷头喷射强</w:t>
      </w:r>
      <w:r>
        <w:rPr>
          <w:rFonts w:ascii="宋体" w:hAnsi="宋体" w:eastAsia="宋体" w:cs="宋体"/>
          <w:spacing w:val="-8"/>
          <w:sz w:val="21"/>
          <w:szCs w:val="21"/>
        </w:rPr>
        <w:t>度、探火管和释放管长度等均不同，无法作出统一规定。因此，规</w:t>
      </w:r>
      <w:r>
        <w:rPr>
          <w:rFonts w:ascii="宋体" w:hAnsi="宋体" w:eastAsia="宋体" w:cs="宋体"/>
          <w:spacing w:val="-3"/>
          <w:sz w:val="21"/>
          <w:szCs w:val="21"/>
        </w:rPr>
        <w:t>定按产品质量证明文件参数确定。</w:t>
      </w:r>
    </w:p>
    <w:p>
      <w:pPr>
        <w:spacing w:line="271" w:lineRule="auto"/>
        <w:rPr>
          <w:rFonts w:ascii="宋体" w:hAnsi="宋体" w:eastAsia="宋体" w:cs="宋体"/>
          <w:sz w:val="21"/>
          <w:szCs w:val="21"/>
        </w:rPr>
        <w:sectPr>
          <w:footerReference r:id="rId113" w:type="default"/>
          <w:pgSz w:w="8280" w:h="11850"/>
          <w:pgMar w:top="400" w:right="1105" w:bottom="1420" w:left="1190" w:header="0" w:footer="1147" w:gutter="0"/>
          <w:cols w:space="720" w:num="1"/>
        </w:sectPr>
      </w:pPr>
    </w:p>
    <w:p>
      <w:pPr>
        <w:pStyle w:val="2"/>
        <w:spacing w:line="246" w:lineRule="auto"/>
      </w:pPr>
    </w:p>
    <w:p>
      <w:pPr>
        <w:pStyle w:val="2"/>
        <w:spacing w:line="246" w:lineRule="auto"/>
      </w:pPr>
    </w:p>
    <w:p>
      <w:pPr>
        <w:pStyle w:val="2"/>
        <w:spacing w:line="246" w:lineRule="auto"/>
      </w:pPr>
    </w:p>
    <w:p>
      <w:pPr>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8.2.13</w:t>
      </w:r>
    </w:p>
    <w:p>
      <w:pPr>
        <w:spacing w:before="88" w:line="291" w:lineRule="auto"/>
        <w:ind w:firstLine="429"/>
        <w:rPr>
          <w:rFonts w:ascii="宋体" w:hAnsi="宋体" w:eastAsia="宋体" w:cs="宋体"/>
          <w:sz w:val="20"/>
          <w:szCs w:val="20"/>
        </w:rPr>
      </w:pPr>
      <w:r>
        <w:rPr>
          <w:rFonts w:ascii="宋体" w:hAnsi="宋体" w:eastAsia="宋体" w:cs="宋体"/>
          <w:spacing w:val="23"/>
          <w:sz w:val="20"/>
          <w:szCs w:val="20"/>
        </w:rPr>
        <w:t>第5款容器阀与探火管连接处设检修阀门的目的是便于</w:t>
      </w:r>
      <w:r>
        <w:rPr>
          <w:rFonts w:ascii="宋体" w:hAnsi="宋体" w:eastAsia="宋体" w:cs="宋体"/>
          <w:spacing w:val="8"/>
          <w:sz w:val="20"/>
          <w:szCs w:val="20"/>
        </w:rPr>
        <w:t>灭火装置的安装和检修。</w:t>
      </w:r>
    </w:p>
    <w:p>
      <w:pPr>
        <w:spacing w:before="1" w:line="290" w:lineRule="auto"/>
        <w:ind w:firstLine="429"/>
        <w:rPr>
          <w:rFonts w:ascii="宋体" w:hAnsi="宋体" w:eastAsia="宋体" w:cs="宋体"/>
          <w:sz w:val="20"/>
          <w:szCs w:val="20"/>
        </w:rPr>
      </w:pPr>
      <w:r>
        <w:rPr>
          <w:rFonts w:ascii="宋体" w:hAnsi="宋体" w:eastAsia="宋体" w:cs="宋体"/>
          <w:spacing w:val="15"/>
          <w:sz w:val="20"/>
          <w:szCs w:val="20"/>
        </w:rPr>
        <w:t>第6款防护区外的探火管设置套管保护的目的是避免外</w:t>
      </w:r>
      <w:r>
        <w:rPr>
          <w:rFonts w:ascii="宋体" w:hAnsi="宋体" w:eastAsia="宋体" w:cs="宋体"/>
          <w:spacing w:val="2"/>
          <w:sz w:val="20"/>
          <w:szCs w:val="20"/>
        </w:rPr>
        <w:t>力的损坏。</w:t>
      </w:r>
    </w:p>
    <w:p>
      <w:pPr>
        <w:spacing w:line="316" w:lineRule="auto"/>
        <w:ind w:firstLine="429"/>
        <w:rPr>
          <w:rFonts w:ascii="宋体" w:hAnsi="宋体" w:eastAsia="宋体" w:cs="宋体"/>
          <w:sz w:val="20"/>
          <w:szCs w:val="20"/>
        </w:rPr>
      </w:pPr>
      <w:r>
        <w:rPr>
          <w:rFonts w:ascii="宋体" w:hAnsi="宋体" w:eastAsia="宋体" w:cs="宋体"/>
          <w:spacing w:val="8"/>
          <w:sz w:val="20"/>
          <w:szCs w:val="20"/>
        </w:rPr>
        <w:t>第7款永久性设备铭牌，应标明设备编号、灭火剂名称、充</w:t>
      </w:r>
      <w:r>
        <w:rPr>
          <w:rFonts w:ascii="宋体" w:hAnsi="宋体" w:eastAsia="宋体" w:cs="宋体"/>
          <w:spacing w:val="-4"/>
          <w:sz w:val="20"/>
          <w:szCs w:val="20"/>
        </w:rPr>
        <w:t>装量、贮存压力、充装日期等，并符合产品标准的要求。</w:t>
      </w:r>
    </w:p>
    <w:p>
      <w:pPr>
        <w:spacing w:before="270" w:line="220" w:lineRule="auto"/>
        <w:ind w:left="1622"/>
        <w:rPr>
          <w:rFonts w:ascii="黑体" w:hAnsi="黑体" w:eastAsia="黑体" w:cs="黑体"/>
          <w:sz w:val="20"/>
          <w:szCs w:val="20"/>
        </w:rPr>
      </w:pPr>
      <w:r>
        <w:rPr>
          <w:rFonts w:ascii="宋体" w:hAnsi="宋体" w:eastAsia="宋体" w:cs="宋体"/>
          <w:b/>
          <w:bCs/>
          <w:spacing w:val="4"/>
          <w:sz w:val="20"/>
          <w:szCs w:val="20"/>
        </w:rPr>
        <w:t>8.3</w:t>
      </w:r>
      <w:r>
        <w:rPr>
          <w:rFonts w:ascii="黑体" w:hAnsi="黑体" w:eastAsia="黑体" w:cs="黑体"/>
          <w:b/>
          <w:bCs/>
          <w:spacing w:val="4"/>
          <w:sz w:val="20"/>
          <w:szCs w:val="20"/>
        </w:rPr>
        <w:t>超细干粉自动灭火装置</w:t>
      </w:r>
    </w:p>
    <w:p>
      <w:pPr>
        <w:pStyle w:val="2"/>
        <w:spacing w:line="330" w:lineRule="auto"/>
      </w:pPr>
    </w:p>
    <w:p>
      <w:pPr>
        <w:spacing w:before="66" w:line="220" w:lineRule="auto"/>
        <w:ind w:left="2"/>
        <w:rPr>
          <w:rFonts w:ascii="宋体" w:hAnsi="宋体" w:eastAsia="宋体" w:cs="宋体"/>
          <w:sz w:val="20"/>
          <w:szCs w:val="20"/>
        </w:rPr>
      </w:pPr>
      <w:r>
        <w:rPr>
          <w:rFonts w:ascii="宋体" w:hAnsi="宋体" w:eastAsia="宋体" w:cs="宋体"/>
          <w:b/>
          <w:bCs/>
          <w:spacing w:val="5"/>
          <w:sz w:val="20"/>
          <w:szCs w:val="20"/>
        </w:rPr>
        <w:t>8.3.3</w:t>
      </w:r>
      <w:r>
        <w:rPr>
          <w:rFonts w:ascii="宋体" w:hAnsi="宋体" w:eastAsia="宋体" w:cs="宋体"/>
          <w:spacing w:val="5"/>
          <w:sz w:val="20"/>
          <w:szCs w:val="20"/>
        </w:rPr>
        <w:t>安装方式包括壁挂安装和悬挂安装。</w:t>
      </w:r>
    </w:p>
    <w:sectPr>
      <w:footerReference r:id="rId114" w:type="default"/>
      <w:pgSz w:w="8280" w:h="11850"/>
      <w:pgMar w:top="400" w:right="1217" w:bottom="1476" w:left="1200" w:header="0" w:footer="116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5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11" w:lineRule="auto"/>
      <w:ind w:left="2350"/>
      <w:rPr>
        <w:rFonts w:ascii="宋体" w:hAnsi="宋体" w:eastAsia="宋体" w:cs="宋体"/>
        <w:sz w:val="21"/>
        <w:szCs w:val="21"/>
      </w:rPr>
    </w:pPr>
    <w:r>
      <w:rPr>
        <w:rFonts w:ascii="宋体" w:hAnsi="宋体" w:eastAsia="宋体" w:cs="宋体"/>
        <w:b/>
        <w:bCs/>
        <w:spacing w:val="-5"/>
        <w:sz w:val="21"/>
        <w:szCs w:val="21"/>
      </w:rPr>
      <w:t>2024上海</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4890"/>
      <w:rPr>
        <w:rFonts w:ascii="宋体" w:hAnsi="宋体" w:eastAsia="宋体" w:cs="宋体"/>
        <w:sz w:val="21"/>
        <w:szCs w:val="21"/>
      </w:rPr>
    </w:pPr>
    <w:r>
      <w:rPr>
        <w:rFonts w:ascii="宋体" w:hAnsi="宋体" w:eastAsia="宋体" w:cs="宋体"/>
        <w:spacing w:val="-11"/>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7"/>
      <w:rPr>
        <w:rFonts w:hint="eastAsia" w:ascii="宋体" w:hAnsi="宋体" w:eastAsia="宋体" w:cs="宋体"/>
        <w:sz w:val="21"/>
        <w:szCs w:val="21"/>
        <w:lang w:eastAsia="zh-CN"/>
      </w:rPr>
    </w:pPr>
    <w:r>
      <w:rPr>
        <w:rFonts w:ascii="宋体" w:hAnsi="宋体" w:eastAsia="宋体" w:cs="宋体"/>
        <w:spacing w:val="-3"/>
        <w:sz w:val="21"/>
        <w:szCs w:val="21"/>
      </w:rPr>
      <w:t>—2—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90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12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87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119"/>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1" w:lineRule="auto"/>
      <w:ind w:left="4879"/>
      <w:rPr>
        <w:rFonts w:ascii="宋体" w:hAnsi="宋体" w:eastAsia="宋体" w:cs="宋体"/>
        <w:sz w:val="20"/>
        <w:szCs w:val="20"/>
      </w:rPr>
    </w:pPr>
    <w:r>
      <w:rPr>
        <w:rFonts w:ascii="宋体" w:hAnsi="宋体" w:eastAsia="宋体" w:cs="宋体"/>
        <w:spacing w:val="-3"/>
        <w:sz w:val="20"/>
        <w:szCs w:val="20"/>
      </w:rPr>
      <w:t>—1—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19"/>
      <w:rPr>
        <w:rFonts w:hint="eastAsia" w:ascii="宋体" w:hAnsi="宋体" w:eastAsia="宋体" w:cs="宋体"/>
        <w:sz w:val="21"/>
        <w:szCs w:val="21"/>
        <w:lang w:eastAsia="zh-CN"/>
      </w:rPr>
    </w:pPr>
    <w:r>
      <w:rPr>
        <w:rFonts w:ascii="宋体" w:hAnsi="宋体" w:eastAsia="宋体" w:cs="宋体"/>
        <w:spacing w:val="-3"/>
        <w:sz w:val="21"/>
        <w:szCs w:val="21"/>
      </w:rPr>
      <w:t>—2—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18"/>
      <w:rPr>
        <w:rFonts w:hint="eastAsia" w:ascii="宋体" w:hAnsi="宋体" w:eastAsia="宋体" w:cs="宋体"/>
        <w:sz w:val="20"/>
        <w:szCs w:val="20"/>
        <w:lang w:eastAsia="zh-CN"/>
      </w:rPr>
    </w:pPr>
    <w:r>
      <w:rPr>
        <w:rFonts w:ascii="宋体" w:hAnsi="宋体" w:eastAsia="宋体" w:cs="宋体"/>
        <w:spacing w:val="-3"/>
        <w:sz w:val="20"/>
        <w:szCs w:val="20"/>
      </w:rPr>
      <w:t>—3—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19"/>
      <w:rPr>
        <w:rFonts w:hint="eastAsia" w:ascii="宋体" w:hAnsi="宋体" w:eastAsia="宋体" w:cs="宋体"/>
        <w:sz w:val="21"/>
        <w:szCs w:val="21"/>
        <w:lang w:eastAsia="zh-CN"/>
      </w:rPr>
    </w:pPr>
    <w:r>
      <w:rPr>
        <w:rFonts w:ascii="宋体" w:hAnsi="宋体" w:eastAsia="宋体" w:cs="宋体"/>
        <w:spacing w:val="-3"/>
        <w:sz w:val="21"/>
        <w:szCs w:val="21"/>
      </w:rPr>
      <w:t>—4—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29"/>
      <w:rPr>
        <w:rFonts w:ascii="宋体" w:hAnsi="宋体" w:eastAsia="宋体" w:cs="宋体"/>
        <w:sz w:val="21"/>
        <w:szCs w:val="21"/>
      </w:rPr>
    </w:pPr>
    <w:r>
      <w:rPr>
        <w:rFonts w:ascii="宋体" w:hAnsi="宋体" w:eastAsia="宋体" w:cs="宋体"/>
        <w:spacing w:val="-3"/>
        <w:sz w:val="21"/>
        <w:szCs w:val="21"/>
      </w:rPr>
      <w:t>—5—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40"/>
      <w:rPr>
        <w:rFonts w:ascii="宋体" w:hAnsi="宋体" w:eastAsia="宋体" w:cs="宋体"/>
        <w:sz w:val="21"/>
        <w:szCs w:val="21"/>
      </w:rPr>
    </w:pPr>
    <w:r>
      <w:rPr>
        <w:rFonts w:ascii="宋体" w:hAnsi="宋体" w:eastAsia="宋体" w:cs="宋体"/>
        <w:spacing w:val="-3"/>
        <w:sz w:val="21"/>
        <w:szCs w:val="21"/>
      </w:rPr>
      <w:t>—6—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79"/>
      <w:rPr>
        <w:rFonts w:hint="eastAsia" w:ascii="宋体" w:hAnsi="宋体" w:eastAsia="宋体" w:cs="宋体"/>
        <w:sz w:val="21"/>
        <w:szCs w:val="21"/>
        <w:lang w:eastAsia="zh-CN"/>
      </w:rPr>
    </w:pPr>
    <w:r>
      <w:rPr>
        <w:rFonts w:ascii="宋体" w:hAnsi="宋体" w:eastAsia="宋体" w:cs="宋体"/>
        <w:spacing w:val="-3"/>
        <w:sz w:val="21"/>
        <w:szCs w:val="21"/>
      </w:rPr>
      <w:t>—7—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ascii="宋体" w:hAnsi="宋体" w:eastAsia="宋体" w:cs="宋体"/>
        <w:sz w:val="21"/>
        <w:szCs w:val="21"/>
      </w:rPr>
    </w:pPr>
    <w:r>
      <w:rPr>
        <w:rFonts w:ascii="宋体" w:hAnsi="宋体" w:eastAsia="宋体" w:cs="宋体"/>
        <w:spacing w:val="-3"/>
        <w:sz w:val="21"/>
        <w:szCs w:val="21"/>
      </w:rPr>
      <w:t>—8—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900"/>
      <w:rPr>
        <w:rFonts w:hint="eastAsia" w:ascii="宋体" w:hAnsi="宋体" w:eastAsia="宋体" w:cs="宋体"/>
        <w:sz w:val="20"/>
        <w:szCs w:val="20"/>
        <w:lang w:eastAsia="zh-CN"/>
      </w:rPr>
    </w:pPr>
    <w:r>
      <w:rPr>
        <w:rFonts w:ascii="宋体" w:hAnsi="宋体" w:eastAsia="宋体" w:cs="宋体"/>
        <w:spacing w:val="-3"/>
        <w:sz w:val="20"/>
        <w:szCs w:val="20"/>
      </w:rPr>
      <w:t>—9—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9"/>
      <w:rPr>
        <w:rFonts w:ascii="宋体" w:hAnsi="宋体" w:eastAsia="宋体" w:cs="宋体"/>
        <w:sz w:val="21"/>
        <w:szCs w:val="21"/>
      </w:rPr>
    </w:pPr>
    <w:r>
      <w:rPr>
        <w:rFonts w:ascii="宋体" w:hAnsi="宋体" w:eastAsia="宋体" w:cs="宋体"/>
        <w:spacing w:val="-8"/>
        <w:sz w:val="21"/>
        <w:szCs w:val="21"/>
      </w:rPr>
      <w:t>—10—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4779"/>
      <w:rPr>
        <w:rFonts w:hint="eastAsia" w:ascii="宋体" w:hAnsi="宋体" w:eastAsia="宋体" w:cs="宋体"/>
        <w:sz w:val="21"/>
        <w:szCs w:val="21"/>
        <w:lang w:eastAsia="zh-CN"/>
      </w:rPr>
    </w:pPr>
    <w:r>
      <w:rPr>
        <w:rFonts w:ascii="宋体" w:hAnsi="宋体" w:eastAsia="宋体" w:cs="宋体"/>
        <w:spacing w:val="-2"/>
        <w:sz w:val="21"/>
        <w:szCs w:val="21"/>
      </w:rPr>
      <w:t>—11—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52"/>
      <w:rPr>
        <w:rFonts w:hint="eastAsia" w:ascii="宋体" w:hAnsi="宋体" w:eastAsia="宋体" w:cs="宋体"/>
        <w:sz w:val="21"/>
        <w:szCs w:val="21"/>
        <w:lang w:eastAsia="zh-CN"/>
      </w:rPr>
    </w:pPr>
    <w:r>
      <w:rPr>
        <w:rFonts w:ascii="宋体" w:hAnsi="宋体" w:eastAsia="宋体" w:cs="宋体"/>
        <w:b/>
        <w:bCs/>
        <w:spacing w:val="-10"/>
        <w:sz w:val="21"/>
        <w:szCs w:val="21"/>
      </w:rPr>
      <w:t>—12—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hint="eastAsia" w:ascii="宋体" w:hAnsi="宋体" w:eastAsia="宋体" w:cs="宋体"/>
        <w:sz w:val="21"/>
        <w:szCs w:val="21"/>
        <w:lang w:eastAsia="zh-CN"/>
      </w:rPr>
    </w:pPr>
    <w:r>
      <w:rPr>
        <w:rFonts w:ascii="宋体" w:hAnsi="宋体" w:eastAsia="宋体" w:cs="宋体"/>
        <w:spacing w:val="-8"/>
        <w:sz w:val="21"/>
        <w:szCs w:val="21"/>
      </w:rPr>
      <w:t>—13—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19"/>
      <w:rPr>
        <w:rFonts w:ascii="宋体" w:hAnsi="宋体" w:eastAsia="宋体" w:cs="宋体"/>
        <w:sz w:val="21"/>
        <w:szCs w:val="21"/>
      </w:rPr>
    </w:pPr>
    <w:r>
      <w:rPr>
        <w:rFonts w:ascii="宋体" w:hAnsi="宋体" w:eastAsia="宋体" w:cs="宋体"/>
        <w:spacing w:val="-2"/>
        <w:sz w:val="21"/>
        <w:szCs w:val="21"/>
      </w:rPr>
      <w:t>—14—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hint="eastAsia" w:ascii="宋体" w:hAnsi="宋体" w:eastAsia="宋体" w:cs="宋体"/>
        <w:sz w:val="21"/>
        <w:szCs w:val="21"/>
        <w:lang w:eastAsia="zh-CN"/>
      </w:rPr>
    </w:pPr>
    <w:r>
      <w:rPr>
        <w:rFonts w:ascii="宋体" w:hAnsi="宋体" w:eastAsia="宋体" w:cs="宋体"/>
        <w:spacing w:val="-8"/>
        <w:sz w:val="21"/>
        <w:szCs w:val="21"/>
      </w:rPr>
      <w:t>—15—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109"/>
      <w:rPr>
        <w:rFonts w:hint="eastAsia" w:ascii="宋体" w:hAnsi="宋体" w:eastAsia="宋体" w:cs="宋体"/>
        <w:sz w:val="24"/>
        <w:szCs w:val="24"/>
        <w:lang w:eastAsia="zh-CN"/>
      </w:rPr>
    </w:pPr>
    <w:r>
      <w:rPr>
        <w:rFonts w:ascii="宋体" w:hAnsi="宋体" w:eastAsia="宋体" w:cs="宋体"/>
        <w:spacing w:val="-2"/>
        <w:sz w:val="24"/>
        <w:szCs w:val="24"/>
      </w:rPr>
      <w:t>—16—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ascii="宋体" w:hAnsi="宋体" w:eastAsia="宋体" w:cs="宋体"/>
        <w:sz w:val="21"/>
        <w:szCs w:val="21"/>
      </w:rPr>
    </w:pPr>
    <w:r>
      <w:rPr>
        <w:rFonts w:ascii="宋体" w:hAnsi="宋体" w:eastAsia="宋体" w:cs="宋体"/>
        <w:spacing w:val="-8"/>
        <w:sz w:val="21"/>
        <w:szCs w:val="21"/>
      </w:rPr>
      <w:t>—17—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119"/>
      <w:rPr>
        <w:rFonts w:hint="eastAsia" w:ascii="宋体" w:hAnsi="宋体" w:eastAsia="宋体" w:cs="宋体"/>
        <w:sz w:val="24"/>
        <w:szCs w:val="24"/>
        <w:lang w:eastAsia="zh-CN"/>
      </w:rPr>
    </w:pPr>
    <w:r>
      <w:rPr>
        <w:rFonts w:ascii="宋体" w:hAnsi="宋体" w:eastAsia="宋体" w:cs="宋体"/>
        <w:spacing w:val="-9"/>
        <w:sz w:val="24"/>
        <w:szCs w:val="24"/>
      </w:rPr>
      <w:t>—18—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0"/>
      <w:rPr>
        <w:rFonts w:ascii="宋体" w:hAnsi="宋体" w:eastAsia="宋体" w:cs="宋体"/>
        <w:sz w:val="20"/>
        <w:szCs w:val="20"/>
      </w:rPr>
    </w:pPr>
    <w:r>
      <w:rPr>
        <w:rFonts w:ascii="宋体" w:hAnsi="宋体" w:eastAsia="宋体" w:cs="宋体"/>
        <w:spacing w:val="-2"/>
        <w:sz w:val="20"/>
        <w:szCs w:val="20"/>
      </w:rPr>
      <w:t>—19—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hint="eastAsia" w:ascii="宋体" w:hAnsi="宋体" w:eastAsia="宋体" w:cs="宋体"/>
        <w:sz w:val="21"/>
        <w:szCs w:val="21"/>
        <w:lang w:eastAsia="zh-CN"/>
      </w:rPr>
    </w:pPr>
    <w:r>
      <w:rPr>
        <w:rFonts w:ascii="宋体" w:hAnsi="宋体" w:eastAsia="宋体" w:cs="宋体"/>
        <w:spacing w:val="-5"/>
        <w:sz w:val="21"/>
        <w:szCs w:val="21"/>
      </w:rPr>
      <w:t>—20—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2" w:lineRule="auto"/>
      <w:ind w:left="4804"/>
      <w:rPr>
        <w:rFonts w:ascii="宋体" w:hAnsi="宋体" w:eastAsia="宋体" w:cs="宋体"/>
        <w:sz w:val="23"/>
        <w:szCs w:val="23"/>
      </w:rPr>
    </w:pPr>
    <w:r>
      <w:rPr>
        <w:rFonts w:ascii="宋体" w:hAnsi="宋体" w:eastAsia="宋体" w:cs="宋体"/>
        <w:spacing w:val="-17"/>
        <w:sz w:val="23"/>
        <w:szCs w:val="23"/>
      </w:rPr>
      <w:t>—21—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69"/>
      <w:rPr>
        <w:rFonts w:hint="eastAsia" w:ascii="宋体" w:hAnsi="宋体" w:eastAsia="宋体" w:cs="宋体"/>
        <w:sz w:val="21"/>
        <w:szCs w:val="21"/>
        <w:lang w:eastAsia="zh-CN"/>
      </w:rPr>
    </w:pPr>
    <w:r>
      <w:rPr>
        <w:rFonts w:ascii="宋体" w:hAnsi="宋体" w:eastAsia="宋体" w:cs="宋体"/>
        <w:spacing w:val="-2"/>
        <w:sz w:val="21"/>
        <w:szCs w:val="21"/>
      </w:rPr>
      <w:t>—23—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29"/>
      <w:rPr>
        <w:rFonts w:ascii="宋体" w:hAnsi="宋体" w:eastAsia="宋体" w:cs="宋体"/>
        <w:sz w:val="21"/>
        <w:szCs w:val="21"/>
      </w:rPr>
    </w:pPr>
    <w:r>
      <w:rPr>
        <w:rFonts w:ascii="宋体" w:hAnsi="宋体" w:eastAsia="宋体" w:cs="宋体"/>
        <w:spacing w:val="-2"/>
        <w:sz w:val="21"/>
        <w:szCs w:val="21"/>
      </w:rPr>
      <w:t>—24—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hint="eastAsia" w:ascii="宋体" w:hAnsi="宋体" w:eastAsia="宋体" w:cs="宋体"/>
        <w:sz w:val="21"/>
        <w:szCs w:val="21"/>
        <w:lang w:eastAsia="zh-CN"/>
      </w:rPr>
    </w:pPr>
    <w:r>
      <w:rPr>
        <w:rFonts w:ascii="宋体" w:hAnsi="宋体" w:eastAsia="宋体" w:cs="宋体"/>
        <w:spacing w:val="-2"/>
        <w:sz w:val="21"/>
        <w:szCs w:val="21"/>
      </w:rPr>
      <w:t>—25—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89"/>
      <w:rPr>
        <w:rFonts w:ascii="宋体" w:hAnsi="宋体" w:eastAsia="宋体" w:cs="宋体"/>
        <w:sz w:val="21"/>
        <w:szCs w:val="21"/>
      </w:rPr>
    </w:pPr>
    <w:r>
      <w:rPr>
        <w:rFonts w:ascii="宋体" w:hAnsi="宋体" w:eastAsia="宋体" w:cs="宋体"/>
        <w:spacing w:val="-2"/>
        <w:sz w:val="21"/>
        <w:szCs w:val="21"/>
      </w:rPr>
      <w:t>—26—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hint="eastAsia" w:ascii="宋体" w:hAnsi="宋体" w:eastAsia="宋体" w:cs="宋体"/>
        <w:sz w:val="21"/>
        <w:szCs w:val="21"/>
        <w:lang w:eastAsia="zh-CN"/>
      </w:rPr>
    </w:pPr>
    <w:r>
      <w:rPr>
        <w:rFonts w:ascii="宋体" w:hAnsi="宋体" w:eastAsia="宋体" w:cs="宋体"/>
        <w:spacing w:val="-1"/>
        <w:sz w:val="21"/>
        <w:szCs w:val="21"/>
      </w:rPr>
      <w:t>—27—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hint="eastAsia" w:ascii="宋体" w:hAnsi="宋体" w:eastAsia="宋体" w:cs="宋体"/>
        <w:sz w:val="21"/>
        <w:szCs w:val="21"/>
        <w:lang w:eastAsia="zh-CN"/>
      </w:rPr>
    </w:pPr>
    <w:r>
      <w:rPr>
        <w:rFonts w:ascii="宋体" w:hAnsi="宋体" w:eastAsia="宋体" w:cs="宋体"/>
        <w:spacing w:val="-2"/>
        <w:sz w:val="21"/>
        <w:szCs w:val="21"/>
      </w:rPr>
      <w:t>—28—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4"/>
      <w:rPr>
        <w:rFonts w:hint="eastAsia" w:ascii="宋体" w:hAnsi="宋体" w:eastAsia="宋体" w:cs="宋体"/>
        <w:sz w:val="21"/>
        <w:szCs w:val="21"/>
        <w:lang w:eastAsia="zh-CN"/>
      </w:rPr>
    </w:pPr>
    <w:r>
      <w:rPr>
        <w:rFonts w:ascii="宋体" w:hAnsi="宋体" w:eastAsia="宋体" w:cs="宋体"/>
        <w:spacing w:val="-2"/>
        <w:sz w:val="21"/>
        <w:szCs w:val="21"/>
      </w:rPr>
      <w:t>—29—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hint="eastAsia" w:ascii="宋体" w:hAnsi="宋体" w:eastAsia="宋体" w:cs="宋体"/>
        <w:sz w:val="21"/>
        <w:szCs w:val="21"/>
        <w:lang w:eastAsia="zh-CN"/>
      </w:rPr>
    </w:pPr>
    <w:r>
      <w:rPr>
        <w:rFonts w:ascii="宋体" w:hAnsi="宋体" w:eastAsia="宋体" w:cs="宋体"/>
        <w:spacing w:val="-2"/>
        <w:sz w:val="21"/>
        <w:szCs w:val="21"/>
      </w:rPr>
      <w:t>—30—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hint="eastAsia" w:ascii="宋体" w:hAnsi="宋体" w:eastAsia="宋体" w:cs="宋体"/>
        <w:sz w:val="21"/>
        <w:szCs w:val="21"/>
        <w:lang w:eastAsia="zh-CN"/>
      </w:rPr>
    </w:pPr>
    <w:r>
      <w:rPr>
        <w:rFonts w:ascii="宋体" w:hAnsi="宋体" w:eastAsia="宋体" w:cs="宋体"/>
        <w:spacing w:val="-1"/>
        <w:sz w:val="21"/>
        <w:szCs w:val="21"/>
      </w:rPr>
      <w:t>—31—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0"/>
      <w:rPr>
        <w:rFonts w:hint="eastAsia" w:ascii="宋体" w:hAnsi="宋体" w:eastAsia="宋体" w:cs="宋体"/>
        <w:sz w:val="21"/>
        <w:szCs w:val="21"/>
        <w:lang w:eastAsia="zh-CN"/>
      </w:rPr>
    </w:pPr>
    <w:r>
      <w:rPr>
        <w:rFonts w:ascii="宋体" w:hAnsi="宋体" w:eastAsia="宋体" w:cs="宋体"/>
        <w:spacing w:val="-2"/>
        <w:sz w:val="21"/>
        <w:szCs w:val="21"/>
      </w:rPr>
      <w:t>—32—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hint="eastAsia" w:ascii="宋体" w:hAnsi="宋体" w:eastAsia="宋体" w:cs="宋体"/>
        <w:sz w:val="21"/>
        <w:szCs w:val="21"/>
        <w:lang w:eastAsia="zh-CN"/>
      </w:rPr>
    </w:pPr>
    <w:r>
      <w:rPr>
        <w:rFonts w:ascii="宋体" w:hAnsi="宋体" w:eastAsia="宋体" w:cs="宋体"/>
        <w:spacing w:val="-2"/>
        <w:sz w:val="21"/>
        <w:szCs w:val="21"/>
      </w:rPr>
      <w:t>—33—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1" w:lineRule="auto"/>
      <w:ind w:left="119"/>
      <w:rPr>
        <w:rFonts w:hint="eastAsia" w:ascii="宋体" w:hAnsi="宋体" w:eastAsia="宋体" w:cs="宋体"/>
        <w:sz w:val="23"/>
        <w:szCs w:val="23"/>
        <w:lang w:eastAsia="zh-CN"/>
      </w:rPr>
    </w:pPr>
    <w:r>
      <w:rPr>
        <w:rFonts w:ascii="宋体" w:hAnsi="宋体" w:eastAsia="宋体" w:cs="宋体"/>
        <w:spacing w:val="-2"/>
        <w:sz w:val="23"/>
        <w:szCs w:val="23"/>
      </w:rPr>
      <w:t>—34—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10"/>
      <w:rPr>
        <w:rFonts w:hint="eastAsia" w:ascii="宋体" w:hAnsi="宋体" w:eastAsia="宋体" w:cs="宋体"/>
        <w:sz w:val="21"/>
        <w:szCs w:val="21"/>
        <w:lang w:eastAsia="zh-CN"/>
      </w:rPr>
    </w:pPr>
    <w:r>
      <w:rPr>
        <w:rFonts w:ascii="宋体" w:hAnsi="宋体" w:eastAsia="宋体" w:cs="宋体"/>
        <w:spacing w:val="-5"/>
        <w:sz w:val="21"/>
        <w:szCs w:val="21"/>
      </w:rPr>
      <w:t>—35</w:t>
    </w:r>
    <w:r>
      <w:rPr>
        <w:rFonts w:ascii="宋体" w:hAnsi="宋体" w:eastAsia="宋体" w:cs="宋体"/>
        <w:strike/>
        <w:spacing w:val="-5"/>
        <w:sz w:val="21"/>
        <w:szCs w:val="21"/>
      </w:rPr>
      <w:t>—</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45"/>
      <w:rPr>
        <w:rFonts w:hint="eastAsia" w:ascii="宋体" w:hAnsi="宋体" w:eastAsia="宋体" w:cs="宋体"/>
        <w:sz w:val="21"/>
        <w:szCs w:val="21"/>
        <w:lang w:eastAsia="zh-CN"/>
      </w:rPr>
    </w:pPr>
    <w:r>
      <w:rPr>
        <w:rFonts w:ascii="宋体" w:hAnsi="宋体" w:eastAsia="宋体" w:cs="宋体"/>
        <w:spacing w:val="-2"/>
        <w:sz w:val="21"/>
        <w:szCs w:val="21"/>
      </w:rPr>
      <w:t>—36—</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10"/>
      <w:rPr>
        <w:rFonts w:ascii="宋体" w:hAnsi="宋体" w:eastAsia="宋体" w:cs="宋体"/>
        <w:sz w:val="21"/>
        <w:szCs w:val="21"/>
      </w:rPr>
    </w:pPr>
    <w:r>
      <w:rPr>
        <w:rFonts w:ascii="宋体" w:hAnsi="宋体" w:eastAsia="宋体" w:cs="宋体"/>
        <w:spacing w:val="-2"/>
        <w:sz w:val="21"/>
        <w:szCs w:val="21"/>
      </w:rPr>
      <w:t>—37—</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hint="eastAsia" w:ascii="宋体" w:hAnsi="宋体" w:eastAsia="宋体" w:cs="宋体"/>
        <w:sz w:val="21"/>
        <w:szCs w:val="21"/>
        <w:lang w:eastAsia="zh-CN"/>
      </w:rPr>
    </w:pPr>
    <w:r>
      <w:rPr>
        <w:rFonts w:ascii="宋体" w:hAnsi="宋体" w:eastAsia="宋体" w:cs="宋体"/>
        <w:spacing w:val="-5"/>
        <w:sz w:val="21"/>
        <w:szCs w:val="21"/>
      </w:rPr>
      <w:t>—38</w:t>
    </w:r>
    <w:r>
      <w:rPr>
        <w:rFonts w:ascii="宋体" w:hAnsi="宋体" w:eastAsia="宋体" w:cs="宋体"/>
        <w:strike/>
        <w:spacing w:val="-5"/>
        <w:sz w:val="21"/>
        <w:szCs w:val="21"/>
      </w:rPr>
      <w:t>—</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59"/>
      <w:rPr>
        <w:rFonts w:hint="eastAsia" w:ascii="宋体" w:hAnsi="宋体" w:eastAsia="宋体" w:cs="宋体"/>
        <w:sz w:val="21"/>
        <w:szCs w:val="21"/>
        <w:lang w:eastAsia="zh-CN"/>
      </w:rPr>
    </w:pPr>
    <w:r>
      <w:rPr>
        <w:rFonts w:ascii="宋体" w:hAnsi="宋体" w:eastAsia="宋体" w:cs="宋体"/>
        <w:b/>
        <w:bCs/>
        <w:spacing w:val="-4"/>
        <w:sz w:val="21"/>
        <w:szCs w:val="21"/>
      </w:rPr>
      <w:t>—39—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99"/>
      <w:rPr>
        <w:rFonts w:hint="eastAsia" w:ascii="宋体" w:hAnsi="宋体" w:eastAsia="宋体" w:cs="宋体"/>
        <w:sz w:val="21"/>
        <w:szCs w:val="21"/>
        <w:lang w:eastAsia="zh-CN"/>
      </w:rPr>
    </w:pPr>
    <w:r>
      <w:rPr>
        <w:rFonts w:ascii="宋体" w:hAnsi="宋体" w:eastAsia="宋体" w:cs="宋体"/>
        <w:spacing w:val="-1"/>
        <w:sz w:val="21"/>
        <w:szCs w:val="21"/>
      </w:rPr>
      <w:t>—40—</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4789"/>
      <w:rPr>
        <w:sz w:val="21"/>
        <w:szCs w:val="21"/>
      </w:rPr>
    </w:pPr>
    <w:r>
      <w:rPr>
        <w:rFonts w:ascii="宋体" w:hAnsi="宋体" w:eastAsia="宋体" w:cs="宋体"/>
        <w:spacing w:val="-3"/>
        <w:sz w:val="21"/>
        <w:szCs w:val="21"/>
      </w:rPr>
      <w:t>-41</w:t>
    </w:r>
    <w:r>
      <w:rPr>
        <w:position w:val="5"/>
        <w:sz w:val="21"/>
        <w:szCs w:val="21"/>
      </w:rPr>
      <w:drawing>
        <wp:inline distT="0" distB="0" distL="0" distR="0">
          <wp:extent cx="152400" cy="2413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152423" cy="24221"/>
                  </a:xfrm>
                  <a:prstGeom prst="rect">
                    <a:avLst/>
                  </a:prstGeom>
                </pic:spPr>
              </pic:pic>
            </a:graphicData>
          </a:graphic>
        </wp:inline>
      </w:drawing>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09"/>
      <w:rPr>
        <w:rFonts w:ascii="宋体" w:hAnsi="宋体" w:eastAsia="宋体" w:cs="宋体"/>
        <w:sz w:val="21"/>
        <w:szCs w:val="21"/>
      </w:rPr>
    </w:pPr>
    <w:r>
      <w:rPr>
        <w:rFonts w:ascii="宋体" w:hAnsi="宋体" w:eastAsia="宋体" w:cs="宋体"/>
        <w:spacing w:val="-2"/>
        <w:sz w:val="21"/>
        <w:szCs w:val="21"/>
      </w:rPr>
      <w:t>—42—</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hint="eastAsia" w:ascii="宋体" w:hAnsi="宋体" w:eastAsia="宋体" w:cs="宋体"/>
        <w:sz w:val="21"/>
        <w:szCs w:val="21"/>
        <w:lang w:eastAsia="zh-CN"/>
      </w:rPr>
    </w:pPr>
    <w:r>
      <w:rPr>
        <w:rFonts w:ascii="宋体" w:hAnsi="宋体" w:eastAsia="宋体" w:cs="宋体"/>
        <w:spacing w:val="-2"/>
        <w:sz w:val="21"/>
        <w:szCs w:val="21"/>
      </w:rPr>
      <w:t>—43—</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129"/>
      <w:rPr>
        <w:rFonts w:hint="eastAsia" w:ascii="宋体" w:hAnsi="宋体" w:eastAsia="宋体" w:cs="宋体"/>
        <w:sz w:val="21"/>
        <w:szCs w:val="21"/>
        <w:lang w:eastAsia="zh-CN"/>
      </w:rPr>
    </w:pPr>
    <w:r>
      <w:rPr>
        <w:rFonts w:ascii="宋体" w:hAnsi="宋体" w:eastAsia="宋体" w:cs="宋体"/>
        <w:spacing w:val="-2"/>
        <w:sz w:val="21"/>
        <w:szCs w:val="21"/>
      </w:rPr>
      <w:t>—44—</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hint="eastAsia" w:ascii="宋体" w:hAnsi="宋体" w:eastAsia="宋体" w:cs="宋体"/>
        <w:sz w:val="21"/>
        <w:szCs w:val="21"/>
        <w:lang w:eastAsia="zh-CN"/>
      </w:rPr>
    </w:pPr>
    <w:r>
      <w:rPr>
        <w:rFonts w:ascii="宋体" w:hAnsi="宋体" w:eastAsia="宋体" w:cs="宋体"/>
        <w:spacing w:val="-1"/>
        <w:sz w:val="21"/>
        <w:szCs w:val="21"/>
      </w:rPr>
      <w:t>—45—</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40"/>
      <w:rPr>
        <w:rFonts w:ascii="宋体" w:hAnsi="宋体" w:eastAsia="宋体" w:cs="宋体"/>
        <w:sz w:val="21"/>
        <w:szCs w:val="21"/>
      </w:rPr>
    </w:pPr>
    <w:r>
      <w:rPr>
        <w:rFonts w:ascii="宋体" w:hAnsi="宋体" w:eastAsia="宋体" w:cs="宋体"/>
        <w:spacing w:val="-2"/>
        <w:sz w:val="21"/>
        <w:szCs w:val="21"/>
      </w:rPr>
      <w:t>—46—</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59"/>
      <w:rPr>
        <w:rFonts w:ascii="宋体" w:hAnsi="宋体" w:eastAsia="宋体" w:cs="宋体"/>
        <w:sz w:val="21"/>
        <w:szCs w:val="21"/>
      </w:rPr>
    </w:pPr>
    <w:r>
      <w:rPr>
        <w:rFonts w:ascii="宋体" w:hAnsi="宋体" w:eastAsia="宋体" w:cs="宋体"/>
        <w:spacing w:val="-2"/>
        <w:sz w:val="21"/>
        <w:szCs w:val="21"/>
      </w:rPr>
      <w:t>—47—</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9"/>
      <w:rPr>
        <w:rFonts w:ascii="宋体" w:hAnsi="宋体" w:eastAsia="宋体" w:cs="宋体"/>
        <w:sz w:val="21"/>
        <w:szCs w:val="21"/>
      </w:rPr>
    </w:pPr>
    <w:r>
      <w:rPr>
        <w:rFonts w:ascii="宋体" w:hAnsi="宋体" w:eastAsia="宋体" w:cs="宋体"/>
        <w:spacing w:val="-2"/>
        <w:sz w:val="21"/>
        <w:szCs w:val="21"/>
      </w:rPr>
      <w:t>—48—</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ascii="宋体" w:hAnsi="宋体" w:eastAsia="宋体" w:cs="宋体"/>
        <w:sz w:val="21"/>
        <w:szCs w:val="21"/>
      </w:rPr>
    </w:pPr>
    <w:r>
      <w:rPr>
        <w:rFonts w:ascii="宋体" w:hAnsi="宋体" w:eastAsia="宋体" w:cs="宋体"/>
        <w:spacing w:val="-2"/>
        <w:sz w:val="21"/>
        <w:szCs w:val="21"/>
      </w:rPr>
      <w:t>—49—</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99"/>
      <w:rPr>
        <w:rFonts w:hint="eastAsia" w:ascii="宋体" w:hAnsi="宋体" w:eastAsia="宋体" w:cs="宋体"/>
        <w:sz w:val="21"/>
        <w:szCs w:val="21"/>
        <w:lang w:eastAsia="zh-CN"/>
      </w:rPr>
    </w:pPr>
    <w:r>
      <w:rPr>
        <w:rFonts w:ascii="宋体" w:hAnsi="宋体" w:eastAsia="宋体" w:cs="宋体"/>
        <w:spacing w:val="-1"/>
        <w:sz w:val="21"/>
        <w:szCs w:val="21"/>
      </w:rPr>
      <w:t>—50—</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60"/>
      <w:rPr>
        <w:rFonts w:hint="eastAsia" w:ascii="宋体" w:hAnsi="宋体" w:eastAsia="宋体" w:cs="宋体"/>
        <w:sz w:val="21"/>
        <w:szCs w:val="21"/>
        <w:lang w:eastAsia="zh-CN"/>
      </w:rPr>
    </w:pPr>
    <w:r>
      <w:rPr>
        <w:rFonts w:ascii="宋体" w:hAnsi="宋体" w:eastAsia="宋体" w:cs="宋体"/>
        <w:spacing w:val="-2"/>
        <w:sz w:val="21"/>
        <w:szCs w:val="21"/>
      </w:rPr>
      <w:t>—</w:t>
    </w:r>
    <w:r>
      <w:rPr>
        <w:rFonts w:ascii="宋体" w:hAnsi="宋体" w:eastAsia="宋体" w:cs="宋体"/>
        <w:strike/>
        <w:spacing w:val="-2"/>
        <w:sz w:val="21"/>
        <w:szCs w:val="21"/>
      </w:rPr>
      <w:t>5</w:t>
    </w:r>
    <w:r>
      <w:rPr>
        <w:rFonts w:ascii="宋体" w:hAnsi="宋体" w:eastAsia="宋体" w:cs="宋体"/>
        <w:spacing w:val="-2"/>
        <w:sz w:val="21"/>
        <w:szCs w:val="21"/>
      </w:rPr>
      <w:t>1—</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548"/>
      <w:rPr>
        <w:rFonts w:hint="eastAsia" w:ascii="宋体" w:hAnsi="宋体" w:eastAsia="宋体" w:cs="宋体"/>
        <w:sz w:val="21"/>
        <w:szCs w:val="21"/>
        <w:lang w:eastAsia="zh-CN"/>
      </w:rPr>
    </w:pPr>
    <w:r>
      <w:rPr>
        <w:rFonts w:ascii="宋体" w:hAnsi="宋体" w:eastAsia="宋体" w:cs="宋体"/>
        <w:spacing w:val="-5"/>
        <w:sz w:val="21"/>
        <w:szCs w:val="21"/>
      </w:rPr>
      <w:t>—53</w:t>
    </w:r>
    <w:r>
      <w:rPr>
        <w:rFonts w:ascii="宋体" w:hAnsi="宋体" w:eastAsia="宋体" w:cs="宋体"/>
        <w:strike/>
        <w:spacing w:val="-5"/>
        <w:sz w:val="21"/>
        <w:szCs w:val="21"/>
      </w:rPr>
      <w:t>—</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1" w:lineRule="auto"/>
      <w:ind w:left="67"/>
      <w:rPr>
        <w:rFonts w:hint="eastAsia" w:ascii="宋体" w:hAnsi="宋体" w:eastAsia="宋体" w:cs="宋体"/>
        <w:sz w:val="22"/>
        <w:szCs w:val="22"/>
        <w:lang w:eastAsia="zh-CN"/>
      </w:rPr>
    </w:pPr>
    <w:r>
      <w:rPr>
        <w:rFonts w:ascii="宋体" w:hAnsi="宋体" w:eastAsia="宋体" w:cs="宋体"/>
        <w:spacing w:val="-2"/>
        <w:sz w:val="22"/>
        <w:szCs w:val="22"/>
      </w:rPr>
      <w:t>—54—</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557"/>
      <w:rPr>
        <w:rFonts w:hint="eastAsia" w:ascii="宋体" w:hAnsi="宋体" w:eastAsia="宋体" w:cs="宋体"/>
        <w:sz w:val="21"/>
        <w:szCs w:val="21"/>
        <w:lang w:eastAsia="zh-CN"/>
      </w:rPr>
    </w:pPr>
    <w:r>
      <w:rPr>
        <w:rFonts w:ascii="宋体" w:hAnsi="宋体" w:eastAsia="宋体" w:cs="宋体"/>
        <w:spacing w:val="-2"/>
        <w:sz w:val="21"/>
        <w:szCs w:val="21"/>
      </w:rPr>
      <w:t>—</w:t>
    </w:r>
    <w:r>
      <w:rPr>
        <w:rFonts w:ascii="宋体" w:hAnsi="宋体" w:eastAsia="宋体" w:cs="宋体"/>
        <w:strike/>
        <w:spacing w:val="-2"/>
        <w:sz w:val="21"/>
        <w:szCs w:val="21"/>
      </w:rPr>
      <w:t>5</w:t>
    </w:r>
    <w:r>
      <w:rPr>
        <w:rFonts w:ascii="宋体" w:hAnsi="宋体" w:eastAsia="宋体" w:cs="宋体"/>
        <w:spacing w:val="-2"/>
        <w:sz w:val="21"/>
        <w:szCs w:val="21"/>
      </w:rPr>
      <w:t>5—</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auto"/>
      <w:ind w:left="2360"/>
      <w:rPr>
        <w:rFonts w:ascii="宋体" w:hAnsi="宋体" w:eastAsia="宋体" w:cs="宋体"/>
        <w:sz w:val="20"/>
        <w:szCs w:val="20"/>
      </w:rPr>
    </w:pPr>
    <w:r>
      <w:rPr>
        <w:rFonts w:ascii="宋体" w:hAnsi="宋体" w:eastAsia="宋体" w:cs="宋体"/>
        <w:b/>
        <w:bCs/>
        <w:spacing w:val="-5"/>
        <w:sz w:val="20"/>
        <w:szCs w:val="20"/>
      </w:rPr>
      <w:t>2024上海</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89"/>
      <w:rPr>
        <w:rFonts w:ascii="Times New Roman" w:hAnsi="Times New Roman" w:eastAsia="Times New Roman" w:cs="Times New Roman"/>
        <w:sz w:val="21"/>
        <w:szCs w:val="21"/>
      </w:rPr>
    </w:pPr>
    <w:r>
      <w:rPr>
        <w:rFonts w:ascii="Times New Roman" w:hAnsi="Times New Roman" w:eastAsia="Times New Roman" w:cs="Times New Roman"/>
        <w:sz w:val="21"/>
        <w:szCs w:val="21"/>
      </w:rPr>
      <w:t>—59—</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110"/>
      <w:rPr>
        <w:rFonts w:ascii="Times New Roman" w:hAnsi="Times New Roman" w:eastAsia="Times New Roman" w:cs="Times New Roman"/>
        <w:sz w:val="21"/>
        <w:szCs w:val="21"/>
      </w:rPr>
    </w:pPr>
    <w:r>
      <w:rPr>
        <w:rFonts w:ascii="Times New Roman" w:hAnsi="Times New Roman" w:eastAsia="Times New Roman" w:cs="Times New Roman"/>
        <w:sz w:val="21"/>
        <w:szCs w:val="21"/>
      </w:rPr>
      <w:t>—60—</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99"/>
      <w:rPr>
        <w:rFonts w:ascii="Times New Roman" w:hAnsi="Times New Roman" w:eastAsia="Times New Roman" w:cs="Times New Roman"/>
        <w:sz w:val="21"/>
        <w:szCs w:val="21"/>
      </w:rPr>
    </w:pPr>
    <w:r>
      <w:rPr>
        <w:rFonts w:ascii="Times New Roman" w:hAnsi="Times New Roman" w:eastAsia="Times New Roman" w:cs="Times New Roman"/>
        <w:sz w:val="21"/>
        <w:szCs w:val="21"/>
      </w:rPr>
      <w:t>—61—</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119"/>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—62—</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hint="eastAsia" w:ascii="宋体" w:hAnsi="宋体" w:eastAsia="宋体" w:cs="宋体"/>
        <w:sz w:val="21"/>
        <w:szCs w:val="21"/>
        <w:lang w:eastAsia="zh-CN"/>
      </w:rPr>
    </w:pPr>
    <w:r>
      <w:rPr>
        <w:rFonts w:ascii="宋体" w:hAnsi="宋体" w:eastAsia="宋体" w:cs="宋体"/>
        <w:spacing w:val="-5"/>
        <w:sz w:val="21"/>
        <w:szCs w:val="21"/>
      </w:rPr>
      <w:t>—63</w:t>
    </w:r>
    <w:r>
      <w:rPr>
        <w:rFonts w:ascii="宋体" w:hAnsi="宋体" w:eastAsia="宋体" w:cs="宋体"/>
        <w:strike/>
        <w:spacing w:val="-5"/>
        <w:sz w:val="21"/>
        <w:szCs w:val="21"/>
      </w:rPr>
      <w:t>—</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19"/>
      <w:rPr>
        <w:rFonts w:ascii="宋体" w:hAnsi="宋体" w:eastAsia="宋体" w:cs="宋体"/>
        <w:sz w:val="20"/>
        <w:szCs w:val="20"/>
      </w:rPr>
    </w:pPr>
    <w:r>
      <w:rPr>
        <w:rFonts w:ascii="宋体" w:hAnsi="宋体" w:eastAsia="宋体" w:cs="宋体"/>
        <w:spacing w:val="-2"/>
        <w:sz w:val="20"/>
        <w:szCs w:val="20"/>
      </w:rPr>
      <w:t>—64—</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ascii="宋体" w:hAnsi="宋体" w:eastAsia="宋体" w:cs="宋体"/>
        <w:sz w:val="21"/>
        <w:szCs w:val="21"/>
      </w:rPr>
    </w:pPr>
    <w:r>
      <w:rPr>
        <w:rFonts w:ascii="宋体" w:hAnsi="宋体" w:eastAsia="宋体" w:cs="宋体"/>
        <w:spacing w:val="-2"/>
        <w:sz w:val="21"/>
        <w:szCs w:val="21"/>
      </w:rPr>
      <w:t>—65—</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34"/>
      <w:rPr>
        <w:rFonts w:hint="eastAsia" w:ascii="宋体" w:hAnsi="宋体" w:eastAsia="宋体" w:cs="宋体"/>
        <w:sz w:val="21"/>
        <w:szCs w:val="21"/>
        <w:lang w:eastAsia="zh-CN"/>
      </w:rPr>
    </w:pPr>
    <w:r>
      <w:rPr>
        <w:rFonts w:ascii="宋体" w:hAnsi="宋体" w:eastAsia="宋体" w:cs="宋体"/>
        <w:spacing w:val="-2"/>
        <w:sz w:val="21"/>
        <w:szCs w:val="21"/>
      </w:rPr>
      <w:t>—66—</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hint="eastAsia" w:ascii="宋体" w:hAnsi="宋体" w:eastAsia="宋体" w:cs="宋体"/>
        <w:sz w:val="21"/>
        <w:szCs w:val="21"/>
        <w:lang w:eastAsia="zh-CN"/>
      </w:rPr>
    </w:pPr>
    <w:r>
      <w:rPr>
        <w:rFonts w:ascii="宋体" w:hAnsi="宋体" w:eastAsia="宋体" w:cs="宋体"/>
        <w:spacing w:val="-1"/>
        <w:sz w:val="21"/>
        <w:szCs w:val="21"/>
      </w:rPr>
      <w:t>—67—</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hint="eastAsia" w:ascii="宋体" w:hAnsi="宋体" w:eastAsia="宋体" w:cs="宋体"/>
        <w:sz w:val="21"/>
        <w:szCs w:val="21"/>
        <w:lang w:eastAsia="zh-CN"/>
      </w:rPr>
    </w:pPr>
    <w:r>
      <w:rPr>
        <w:rFonts w:ascii="宋体" w:hAnsi="宋体" w:eastAsia="宋体" w:cs="宋体"/>
        <w:spacing w:val="-5"/>
        <w:sz w:val="21"/>
        <w:szCs w:val="21"/>
      </w:rPr>
      <w:t>—68—</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99"/>
      <w:rPr>
        <w:rFonts w:hint="eastAsia" w:ascii="宋体" w:hAnsi="宋体" w:eastAsia="宋体" w:cs="宋体"/>
        <w:sz w:val="21"/>
        <w:szCs w:val="21"/>
        <w:lang w:eastAsia="zh-CN"/>
      </w:rPr>
    </w:pPr>
    <w:r>
      <w:rPr>
        <w:rFonts w:ascii="宋体" w:hAnsi="宋体" w:eastAsia="宋体" w:cs="宋体"/>
        <w:spacing w:val="-5"/>
        <w:sz w:val="21"/>
        <w:szCs w:val="21"/>
      </w:rPr>
      <w:t>—69</w:t>
    </w:r>
    <w:r>
      <w:rPr>
        <w:rFonts w:ascii="宋体" w:hAnsi="宋体" w:eastAsia="宋体" w:cs="宋体"/>
        <w:strike/>
        <w:spacing w:val="-5"/>
        <w:sz w:val="21"/>
        <w:szCs w:val="21"/>
      </w:rPr>
      <w:t>—</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hint="eastAsia" w:ascii="宋体" w:hAnsi="宋体" w:eastAsia="宋体" w:cs="宋体"/>
        <w:sz w:val="21"/>
        <w:szCs w:val="21"/>
        <w:lang w:eastAsia="zh-CN"/>
      </w:rPr>
    </w:pPr>
    <w:r>
      <w:rPr>
        <w:rFonts w:ascii="宋体" w:hAnsi="宋体" w:eastAsia="宋体" w:cs="宋体"/>
        <w:spacing w:val="-2"/>
        <w:sz w:val="21"/>
        <w:szCs w:val="21"/>
      </w:rPr>
      <w:t>—70—</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4765"/>
      <w:rPr>
        <w:rFonts w:ascii="宋体" w:hAnsi="宋体" w:eastAsia="宋体" w:cs="宋体"/>
        <w:sz w:val="24"/>
        <w:szCs w:val="24"/>
      </w:rPr>
    </w:pPr>
    <w:r>
      <w:rPr>
        <w:rFonts w:ascii="宋体" w:hAnsi="宋体" w:eastAsia="宋体" w:cs="宋体"/>
        <w:spacing w:val="-2"/>
        <w:sz w:val="24"/>
        <w:szCs w:val="24"/>
      </w:rPr>
      <w:t>—71—</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99"/>
      <w:rPr>
        <w:rFonts w:hint="eastAsia" w:ascii="宋体" w:hAnsi="宋体" w:eastAsia="宋体" w:cs="宋体"/>
        <w:sz w:val="21"/>
        <w:szCs w:val="21"/>
        <w:lang w:eastAsia="zh-CN"/>
      </w:rPr>
    </w:pPr>
    <w:r>
      <w:rPr>
        <w:rFonts w:ascii="宋体" w:hAnsi="宋体" w:eastAsia="宋体" w:cs="宋体"/>
        <w:spacing w:val="-2"/>
        <w:sz w:val="21"/>
        <w:szCs w:val="21"/>
      </w:rPr>
      <w:t>—72—</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84"/>
      <w:rPr>
        <w:rFonts w:hint="eastAsia" w:ascii="宋体" w:hAnsi="宋体" w:eastAsia="宋体" w:cs="宋体"/>
        <w:sz w:val="21"/>
        <w:szCs w:val="21"/>
        <w:lang w:eastAsia="zh-CN"/>
      </w:rPr>
    </w:pPr>
    <w:r>
      <w:rPr>
        <w:rFonts w:ascii="宋体" w:hAnsi="宋体" w:eastAsia="宋体" w:cs="宋体"/>
        <w:spacing w:val="-2"/>
        <w:sz w:val="21"/>
        <w:szCs w:val="21"/>
      </w:rPr>
      <w:t>—73—</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hint="eastAsia" w:ascii="宋体" w:hAnsi="宋体" w:eastAsia="宋体" w:cs="宋体"/>
        <w:sz w:val="21"/>
        <w:szCs w:val="21"/>
        <w:lang w:eastAsia="zh-CN"/>
      </w:rPr>
    </w:pPr>
    <w:r>
      <w:rPr>
        <w:rFonts w:ascii="宋体" w:hAnsi="宋体" w:eastAsia="宋体" w:cs="宋体"/>
        <w:spacing w:val="-2"/>
        <w:sz w:val="21"/>
        <w:szCs w:val="21"/>
      </w:rPr>
      <w:t>—74—</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hint="eastAsia" w:ascii="宋体" w:hAnsi="宋体" w:eastAsia="宋体" w:cs="宋体"/>
        <w:sz w:val="21"/>
        <w:szCs w:val="21"/>
        <w:lang w:eastAsia="zh-CN"/>
      </w:rPr>
    </w:pPr>
    <w:r>
      <w:rPr>
        <w:rFonts w:ascii="宋体" w:hAnsi="宋体" w:eastAsia="宋体" w:cs="宋体"/>
        <w:spacing w:val="-2"/>
        <w:sz w:val="21"/>
        <w:szCs w:val="21"/>
      </w:rPr>
      <w:t>—75—</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9"/>
      <w:rPr>
        <w:rFonts w:ascii="宋体" w:hAnsi="宋体" w:eastAsia="宋体" w:cs="宋体"/>
        <w:sz w:val="21"/>
        <w:szCs w:val="21"/>
      </w:rPr>
    </w:pPr>
    <w:r>
      <w:rPr>
        <w:rFonts w:ascii="宋体" w:hAnsi="宋体" w:eastAsia="宋体" w:cs="宋体"/>
        <w:spacing w:val="-2"/>
        <w:sz w:val="21"/>
        <w:szCs w:val="21"/>
      </w:rPr>
      <w:t>—76—</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4769"/>
      <w:rPr>
        <w:rFonts w:hint="eastAsia" w:ascii="宋体" w:hAnsi="宋体" w:eastAsia="宋体" w:cs="宋体"/>
        <w:sz w:val="24"/>
        <w:szCs w:val="24"/>
        <w:lang w:eastAsia="zh-CN"/>
      </w:rPr>
    </w:pPr>
    <w:r>
      <w:rPr>
        <w:rFonts w:ascii="宋体" w:hAnsi="宋体" w:eastAsia="宋体" w:cs="宋体"/>
        <w:spacing w:val="-2"/>
        <w:sz w:val="24"/>
        <w:szCs w:val="24"/>
      </w:rPr>
      <w:t>—77—</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ascii="宋体" w:hAnsi="宋体" w:eastAsia="宋体" w:cs="宋体"/>
        <w:sz w:val="21"/>
        <w:szCs w:val="21"/>
      </w:rPr>
    </w:pPr>
    <w:r>
      <w:rPr>
        <w:rFonts w:ascii="宋体" w:hAnsi="宋体" w:eastAsia="宋体" w:cs="宋体"/>
        <w:spacing w:val="-2"/>
        <w:sz w:val="21"/>
        <w:szCs w:val="21"/>
      </w:rPr>
      <w:t>—78—</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4779"/>
      <w:rPr>
        <w:rFonts w:hint="eastAsia" w:ascii="宋体" w:hAnsi="宋体" w:eastAsia="宋体" w:cs="宋体"/>
        <w:sz w:val="24"/>
        <w:szCs w:val="24"/>
        <w:lang w:eastAsia="zh-CN"/>
      </w:rPr>
    </w:pPr>
    <w:r>
      <w:rPr>
        <w:rFonts w:ascii="宋体" w:hAnsi="宋体" w:eastAsia="宋体" w:cs="宋体"/>
        <w:spacing w:val="-2"/>
        <w:sz w:val="24"/>
        <w:szCs w:val="24"/>
      </w:rPr>
      <w:t>—79—</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22"/>
      <w:rPr>
        <w:rFonts w:hint="eastAsia" w:ascii="宋体" w:hAnsi="宋体" w:eastAsia="宋体" w:cs="宋体"/>
        <w:sz w:val="21"/>
        <w:szCs w:val="21"/>
        <w:lang w:eastAsia="zh-CN"/>
      </w:rPr>
    </w:pPr>
    <w:r>
      <w:rPr>
        <w:rFonts w:ascii="宋体" w:hAnsi="宋体" w:eastAsia="宋体" w:cs="宋体"/>
        <w:b/>
        <w:bCs/>
        <w:spacing w:val="-7"/>
        <w:sz w:val="21"/>
        <w:szCs w:val="21"/>
      </w:rPr>
      <w:t>—80—</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84"/>
      <w:rPr>
        <w:rFonts w:hint="eastAsia" w:ascii="宋体" w:hAnsi="宋体" w:eastAsia="宋体" w:cs="宋体"/>
        <w:sz w:val="21"/>
        <w:szCs w:val="21"/>
        <w:lang w:eastAsia="zh-CN"/>
      </w:rPr>
    </w:pPr>
    <w:r>
      <w:rPr>
        <w:rFonts w:ascii="宋体" w:hAnsi="宋体" w:eastAsia="宋体" w:cs="宋体"/>
        <w:spacing w:val="-2"/>
        <w:sz w:val="21"/>
        <w:szCs w:val="21"/>
      </w:rPr>
      <w:t>—81—</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2" w:lineRule="auto"/>
      <w:ind w:left="99"/>
      <w:rPr>
        <w:rFonts w:hint="eastAsia" w:ascii="宋体" w:hAnsi="宋体" w:eastAsia="宋体" w:cs="宋体"/>
        <w:sz w:val="25"/>
        <w:szCs w:val="25"/>
        <w:lang w:eastAsia="zh-CN"/>
      </w:rPr>
    </w:pPr>
    <w:r>
      <w:rPr>
        <w:rFonts w:ascii="宋体" w:hAnsi="宋体" w:eastAsia="宋体" w:cs="宋体"/>
        <w:spacing w:val="-2"/>
        <w:sz w:val="25"/>
        <w:szCs w:val="25"/>
      </w:rPr>
      <w:t>—82—</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19"/>
      <w:rPr>
        <w:rFonts w:hint="eastAsia" w:ascii="宋体" w:hAnsi="宋体" w:eastAsia="宋体" w:cs="宋体"/>
        <w:sz w:val="21"/>
        <w:szCs w:val="21"/>
        <w:lang w:eastAsia="zh-CN"/>
      </w:rPr>
    </w:pPr>
    <w:r>
      <w:rPr>
        <w:rFonts w:ascii="宋体" w:hAnsi="宋体" w:eastAsia="宋体" w:cs="宋体"/>
        <w:spacing w:val="-2"/>
        <w:sz w:val="21"/>
        <w:szCs w:val="21"/>
      </w:rPr>
      <w:t>—83—</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ascii="宋体" w:hAnsi="宋体" w:eastAsia="宋体" w:cs="宋体"/>
        <w:sz w:val="21"/>
        <w:szCs w:val="21"/>
      </w:rPr>
    </w:pPr>
    <w:r>
      <w:rPr>
        <w:rFonts w:ascii="宋体" w:hAnsi="宋体" w:eastAsia="宋体" w:cs="宋体"/>
        <w:spacing w:val="-2"/>
        <w:sz w:val="21"/>
        <w:szCs w:val="21"/>
      </w:rPr>
      <w:t>—84—</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ascii="宋体" w:hAnsi="宋体" w:eastAsia="宋体" w:cs="宋体"/>
        <w:sz w:val="21"/>
        <w:szCs w:val="21"/>
      </w:rPr>
    </w:pPr>
    <w:r>
      <w:rPr>
        <w:rFonts w:ascii="宋体" w:hAnsi="宋体" w:eastAsia="宋体" w:cs="宋体"/>
        <w:spacing w:val="-12"/>
        <w:sz w:val="21"/>
        <w:szCs w:val="21"/>
      </w:rPr>
      <w:t>—85—</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9"/>
      <w:rPr>
        <w:rFonts w:hint="eastAsia" w:ascii="Times New Roman" w:hAnsi="Times New Roman" w:eastAsia="宋体" w:cs="Times New Roman"/>
        <w:sz w:val="21"/>
        <w:szCs w:val="21"/>
        <w:lang w:eastAsia="zh-CN"/>
      </w:rPr>
    </w:pPr>
    <w:r>
      <w:rPr>
        <w:rFonts w:ascii="Times New Roman" w:hAnsi="Times New Roman" w:eastAsia="Times New Roman" w:cs="Times New Roman"/>
        <w:spacing w:val="-5"/>
        <w:sz w:val="21"/>
        <w:szCs w:val="21"/>
      </w:rPr>
      <w:t>86-</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hint="eastAsia" w:ascii="宋体" w:hAnsi="宋体" w:eastAsia="宋体" w:cs="宋体"/>
        <w:sz w:val="21"/>
        <w:szCs w:val="21"/>
        <w:lang w:eastAsia="zh-CN"/>
      </w:rPr>
    </w:pPr>
    <w:r>
      <w:rPr>
        <w:rFonts w:ascii="宋体" w:hAnsi="宋体" w:eastAsia="宋体" w:cs="宋体"/>
        <w:spacing w:val="-2"/>
        <w:sz w:val="21"/>
        <w:szCs w:val="21"/>
      </w:rPr>
      <w:t>—88—</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hint="eastAsia" w:ascii="宋体" w:hAnsi="宋体" w:eastAsia="宋体" w:cs="宋体"/>
        <w:sz w:val="21"/>
        <w:szCs w:val="21"/>
        <w:lang w:eastAsia="zh-CN"/>
      </w:rPr>
    </w:pPr>
    <w:r>
      <w:rPr>
        <w:rFonts w:ascii="宋体" w:hAnsi="宋体" w:eastAsia="宋体" w:cs="宋体"/>
        <w:spacing w:val="-2"/>
        <w:sz w:val="21"/>
        <w:szCs w:val="21"/>
      </w:rPr>
      <w:t>—89—</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245"/>
      <w:rPr>
        <w:rFonts w:hint="eastAsia" w:ascii="宋体" w:hAnsi="宋体" w:eastAsia="宋体" w:cs="宋体"/>
        <w:sz w:val="21"/>
        <w:szCs w:val="21"/>
        <w:lang w:eastAsia="zh-CN"/>
      </w:rPr>
    </w:pPr>
    <w:r>
      <w:rPr>
        <w:rFonts w:ascii="宋体" w:hAnsi="宋体" w:eastAsia="宋体" w:cs="宋体"/>
        <w:spacing w:val="-4"/>
        <w:sz w:val="21"/>
        <w:szCs w:val="21"/>
      </w:rPr>
      <w:t>—90</w:t>
    </w:r>
    <w:r>
      <w:rPr>
        <w:rFonts w:ascii="宋体" w:hAnsi="宋体" w:eastAsia="宋体" w:cs="宋体"/>
        <w:strike/>
        <w:spacing w:val="-4"/>
        <w:sz w:val="21"/>
        <w:szCs w:val="21"/>
      </w:rPr>
      <w:t>—</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79"/>
      <w:rPr>
        <w:rFonts w:hint="eastAsia" w:ascii="宋体" w:hAnsi="宋体" w:eastAsia="宋体" w:cs="宋体"/>
        <w:sz w:val="20"/>
        <w:szCs w:val="20"/>
        <w:lang w:eastAsia="zh-CN"/>
      </w:rPr>
    </w:pPr>
    <w:r>
      <w:rPr>
        <w:rFonts w:ascii="宋体" w:hAnsi="宋体" w:eastAsia="宋体" w:cs="宋体"/>
        <w:strike/>
        <w:spacing w:val="-2"/>
        <w:sz w:val="20"/>
        <w:szCs w:val="20"/>
      </w:rPr>
      <w:t>—9</w:t>
    </w:r>
    <w:r>
      <w:rPr>
        <w:rFonts w:ascii="宋体" w:hAnsi="宋体" w:eastAsia="宋体" w:cs="宋体"/>
        <w:spacing w:val="-2"/>
        <w:sz w:val="20"/>
        <w:szCs w:val="20"/>
      </w:rPr>
      <w:t>1—</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9"/>
      <w:rPr>
        <w:rFonts w:hint="eastAsia" w:ascii="宋体" w:hAnsi="宋体" w:eastAsia="宋体" w:cs="宋体"/>
        <w:sz w:val="21"/>
        <w:szCs w:val="21"/>
        <w:lang w:eastAsia="zh-CN"/>
      </w:rPr>
    </w:pPr>
    <w:r>
      <w:rPr>
        <w:rFonts w:ascii="宋体" w:hAnsi="宋体" w:eastAsia="宋体" w:cs="宋体"/>
        <w:spacing w:val="-5"/>
        <w:sz w:val="21"/>
        <w:szCs w:val="21"/>
      </w:rPr>
      <w:t>—92</w:t>
    </w:r>
    <w:r>
      <w:rPr>
        <w:rFonts w:ascii="宋体" w:hAnsi="宋体" w:eastAsia="宋体" w:cs="宋体"/>
        <w:strike/>
        <w:spacing w:val="-5"/>
        <w:sz w:val="21"/>
        <w:szCs w:val="21"/>
      </w:rPr>
      <w:t>—</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99"/>
      <w:rPr>
        <w:sz w:val="21"/>
        <w:szCs w:val="21"/>
      </w:rPr>
    </w:pPr>
    <w:r>
      <w:rPr>
        <w:rFonts w:ascii="Times New Roman" w:hAnsi="Times New Roman" w:eastAsia="Times New Roman" w:cs="Times New Roman"/>
        <w:strike/>
        <w:spacing w:val="-2"/>
        <w:sz w:val="21"/>
        <w:szCs w:val="21"/>
      </w:rPr>
      <w:t>-93</w:t>
    </w:r>
    <w:r>
      <w:rPr>
        <w:position w:val="6"/>
        <w:sz w:val="21"/>
        <w:szCs w:val="21"/>
      </w:rPr>
      <w:drawing>
        <wp:inline distT="0" distB="0" distL="0" distR="0">
          <wp:extent cx="152400" cy="2349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152423" cy="23630"/>
                  </a:xfrm>
                  <a:prstGeom prst="rect">
                    <a:avLst/>
                  </a:prstGeom>
                </pic:spPr>
              </pic:pic>
            </a:graphicData>
          </a:graphic>
        </wp:inline>
      </w:drawing>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09"/>
      <w:rPr>
        <w:rFonts w:hint="eastAsia" w:ascii="宋体" w:hAnsi="宋体" w:eastAsia="宋体" w:cs="宋体"/>
        <w:sz w:val="21"/>
        <w:szCs w:val="21"/>
        <w:lang w:eastAsia="zh-CN"/>
      </w:rPr>
    </w:pPr>
    <w:r>
      <w:rPr>
        <w:rFonts w:ascii="宋体" w:hAnsi="宋体" w:eastAsia="宋体" w:cs="宋体"/>
        <w:spacing w:val="-2"/>
        <w:sz w:val="21"/>
        <w:szCs w:val="21"/>
      </w:rPr>
      <w:t>—94—</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789"/>
      <w:rPr>
        <w:rFonts w:ascii="宋体" w:hAnsi="宋体" w:eastAsia="宋体" w:cs="宋体"/>
        <w:sz w:val="21"/>
        <w:szCs w:val="21"/>
      </w:rPr>
    </w:pPr>
    <w:r>
      <w:rPr>
        <w:rFonts w:ascii="宋体" w:hAnsi="宋体" w:eastAsia="宋体" w:cs="宋体"/>
        <w:spacing w:val="-2"/>
        <w:sz w:val="21"/>
        <w:szCs w:val="21"/>
      </w:rPr>
      <w:t>—95—</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119"/>
      <w:rPr>
        <w:rFonts w:hint="eastAsia" w:ascii="宋体" w:hAnsi="宋体" w:eastAsia="宋体" w:cs="宋体"/>
        <w:sz w:val="21"/>
        <w:szCs w:val="21"/>
        <w:lang w:eastAsia="zh-CN"/>
      </w:rPr>
    </w:pPr>
    <w:r>
      <w:rPr>
        <w:rFonts w:ascii="宋体" w:hAnsi="宋体" w:eastAsia="宋体" w:cs="宋体"/>
        <w:spacing w:val="-2"/>
        <w:sz w:val="21"/>
        <w:szCs w:val="21"/>
      </w:rPr>
      <w:t>—96—</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0" w:lineRule="auto"/>
      <w:ind w:left="4810"/>
      <w:rPr>
        <w:rFonts w:hint="eastAsia" w:ascii="宋体" w:hAnsi="宋体" w:eastAsia="宋体" w:cs="宋体"/>
        <w:sz w:val="21"/>
        <w:szCs w:val="21"/>
        <w:lang w:eastAsia="zh-CN"/>
      </w:rPr>
    </w:pPr>
    <w:r>
      <w:rPr>
        <w:rFonts w:ascii="宋体" w:hAnsi="宋体" w:eastAsia="宋体" w:cs="宋体"/>
        <w:spacing w:val="-4"/>
        <w:sz w:val="21"/>
        <w:szCs w:val="21"/>
      </w:rPr>
      <w:t>—97—</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1" w:lineRule="auto"/>
      <w:ind w:left="119"/>
      <w:rPr>
        <w:rFonts w:hint="eastAsia" w:ascii="宋体" w:hAnsi="宋体" w:eastAsia="宋体" w:cs="宋体"/>
        <w:sz w:val="24"/>
        <w:szCs w:val="24"/>
        <w:lang w:eastAsia="zh-CN"/>
      </w:rPr>
    </w:pPr>
    <w:r>
      <w:rPr>
        <w:rFonts w:ascii="宋体" w:hAnsi="宋体" w:eastAsia="宋体" w:cs="宋体"/>
        <w:spacing w:val="-2"/>
        <w:sz w:val="24"/>
        <w:szCs w:val="24"/>
      </w:rPr>
      <w:t>—98—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41" w:line="223" w:lineRule="auto"/>
      <w:rPr>
        <w:rFonts w:ascii="黑体" w:hAnsi="黑体" w:eastAsia="黑体" w:cs="黑体"/>
        <w:sz w:val="16"/>
        <w:szCs w:val="16"/>
      </w:rPr>
    </w:pPr>
    <w:r>
      <w:rPr>
        <w:rFonts w:ascii="黑体" w:hAnsi="黑体" w:eastAsia="黑体" w:cs="黑体"/>
        <w:b/>
        <w:bCs/>
        <w:spacing w:val="-3"/>
        <w:sz w:val="16"/>
        <w:szCs w:val="16"/>
      </w:rPr>
      <w:t>续表5.2.3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43" w:line="220" w:lineRule="auto"/>
      <w:ind w:left="2"/>
      <w:rPr>
        <w:rFonts w:ascii="宋体" w:hAnsi="宋体" w:eastAsia="宋体" w:cs="宋体"/>
        <w:sz w:val="16"/>
        <w:szCs w:val="16"/>
      </w:rPr>
    </w:pPr>
    <w:r>
      <w:rPr>
        <w:rFonts w:ascii="宋体" w:hAnsi="宋体" w:eastAsia="宋体" w:cs="宋体"/>
        <w:b/>
        <w:bCs/>
        <w:spacing w:val="-3"/>
        <w:sz w:val="16"/>
        <w:szCs w:val="16"/>
      </w:rPr>
      <w:t>续表6.1.8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NhZDA5MjljZDVmNThjMzRkZGQ4M2MxMzRmNTgxMzcifQ=="/>
  </w:docVars>
  <w:rsids>
    <w:rsidRoot w:val="00000000"/>
    <w:rsid w:val="6B3159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7"/>
      <w:szCs w:val="17"/>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1.xml"/><Relationship Id="rId98" Type="http://schemas.openxmlformats.org/officeDocument/2006/relationships/footer" Target="footer90.xml"/><Relationship Id="rId97" Type="http://schemas.openxmlformats.org/officeDocument/2006/relationships/footer" Target="footer89.xml"/><Relationship Id="rId96" Type="http://schemas.openxmlformats.org/officeDocument/2006/relationships/footer" Target="footer88.xml"/><Relationship Id="rId95" Type="http://schemas.openxmlformats.org/officeDocument/2006/relationships/footer" Target="footer87.xml"/><Relationship Id="rId94" Type="http://schemas.openxmlformats.org/officeDocument/2006/relationships/footer" Target="footer86.xml"/><Relationship Id="rId93" Type="http://schemas.openxmlformats.org/officeDocument/2006/relationships/footer" Target="footer85.xml"/><Relationship Id="rId92" Type="http://schemas.openxmlformats.org/officeDocument/2006/relationships/footer" Target="footer84.xml"/><Relationship Id="rId91" Type="http://schemas.openxmlformats.org/officeDocument/2006/relationships/footer" Target="footer83.xml"/><Relationship Id="rId90" Type="http://schemas.openxmlformats.org/officeDocument/2006/relationships/footer" Target="footer82.xml"/><Relationship Id="rId9" Type="http://schemas.openxmlformats.org/officeDocument/2006/relationships/footer" Target="footer5.xml"/><Relationship Id="rId89" Type="http://schemas.openxmlformats.org/officeDocument/2006/relationships/footer" Target="footer81.xml"/><Relationship Id="rId88" Type="http://schemas.openxmlformats.org/officeDocument/2006/relationships/footer" Target="footer80.xml"/><Relationship Id="rId87" Type="http://schemas.openxmlformats.org/officeDocument/2006/relationships/footer" Target="footer79.xml"/><Relationship Id="rId86" Type="http://schemas.openxmlformats.org/officeDocument/2006/relationships/footer" Target="footer78.xml"/><Relationship Id="rId85" Type="http://schemas.openxmlformats.org/officeDocument/2006/relationships/footer" Target="footer77.xml"/><Relationship Id="rId84" Type="http://schemas.openxmlformats.org/officeDocument/2006/relationships/footer" Target="footer76.xml"/><Relationship Id="rId83" Type="http://schemas.openxmlformats.org/officeDocument/2006/relationships/footer" Target="footer75.xml"/><Relationship Id="rId82" Type="http://schemas.openxmlformats.org/officeDocument/2006/relationships/footer" Target="footer74.xml"/><Relationship Id="rId81" Type="http://schemas.openxmlformats.org/officeDocument/2006/relationships/footer" Target="footer73.xml"/><Relationship Id="rId80" Type="http://schemas.openxmlformats.org/officeDocument/2006/relationships/footer" Target="footer72.xml"/><Relationship Id="rId8" Type="http://schemas.openxmlformats.org/officeDocument/2006/relationships/footer" Target="footer4.xml"/><Relationship Id="rId79" Type="http://schemas.openxmlformats.org/officeDocument/2006/relationships/footer" Target="footer71.xml"/><Relationship Id="rId78" Type="http://schemas.openxmlformats.org/officeDocument/2006/relationships/footer" Target="footer70.xml"/><Relationship Id="rId77" Type="http://schemas.openxmlformats.org/officeDocument/2006/relationships/footer" Target="footer69.xml"/><Relationship Id="rId76" Type="http://schemas.openxmlformats.org/officeDocument/2006/relationships/footer" Target="footer68.xml"/><Relationship Id="rId75" Type="http://schemas.openxmlformats.org/officeDocument/2006/relationships/footer" Target="footer67.xml"/><Relationship Id="rId74" Type="http://schemas.openxmlformats.org/officeDocument/2006/relationships/footer" Target="footer66.xml"/><Relationship Id="rId73" Type="http://schemas.openxmlformats.org/officeDocument/2006/relationships/footer" Target="footer65.xml"/><Relationship Id="rId72" Type="http://schemas.openxmlformats.org/officeDocument/2006/relationships/footer" Target="footer64.xml"/><Relationship Id="rId71" Type="http://schemas.openxmlformats.org/officeDocument/2006/relationships/footer" Target="footer63.xml"/><Relationship Id="rId70" Type="http://schemas.openxmlformats.org/officeDocument/2006/relationships/footer" Target="footer62.xml"/><Relationship Id="rId7" Type="http://schemas.openxmlformats.org/officeDocument/2006/relationships/footer" Target="footer3.xml"/><Relationship Id="rId69" Type="http://schemas.openxmlformats.org/officeDocument/2006/relationships/footer" Target="footer61.xml"/><Relationship Id="rId68" Type="http://schemas.openxmlformats.org/officeDocument/2006/relationships/footer" Target="footer60.xml"/><Relationship Id="rId67" Type="http://schemas.openxmlformats.org/officeDocument/2006/relationships/footer" Target="footer59.xml"/><Relationship Id="rId66" Type="http://schemas.openxmlformats.org/officeDocument/2006/relationships/footer" Target="footer58.xml"/><Relationship Id="rId65" Type="http://schemas.openxmlformats.org/officeDocument/2006/relationships/footer" Target="footer57.xml"/><Relationship Id="rId64" Type="http://schemas.openxmlformats.org/officeDocument/2006/relationships/footer" Target="footer56.xml"/><Relationship Id="rId63" Type="http://schemas.openxmlformats.org/officeDocument/2006/relationships/footer" Target="footer55.xml"/><Relationship Id="rId62" Type="http://schemas.openxmlformats.org/officeDocument/2006/relationships/footer" Target="footer54.xml"/><Relationship Id="rId61" Type="http://schemas.openxmlformats.org/officeDocument/2006/relationships/footer" Target="footer53.xml"/><Relationship Id="rId60" Type="http://schemas.openxmlformats.org/officeDocument/2006/relationships/footer" Target="footer52.xml"/><Relationship Id="rId6" Type="http://schemas.openxmlformats.org/officeDocument/2006/relationships/footer" Target="footer2.xml"/><Relationship Id="rId59" Type="http://schemas.openxmlformats.org/officeDocument/2006/relationships/footer" Target="footer51.xml"/><Relationship Id="rId58" Type="http://schemas.openxmlformats.org/officeDocument/2006/relationships/footer" Target="footer50.xml"/><Relationship Id="rId57" Type="http://schemas.openxmlformats.org/officeDocument/2006/relationships/footer" Target="footer49.xml"/><Relationship Id="rId56" Type="http://schemas.openxmlformats.org/officeDocument/2006/relationships/footer" Target="footer48.xml"/><Relationship Id="rId55" Type="http://schemas.openxmlformats.org/officeDocument/2006/relationships/footer" Target="footer47.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header" Target="header4.xml"/><Relationship Id="rId47" Type="http://schemas.openxmlformats.org/officeDocument/2006/relationships/footer" Target="footer40.xml"/><Relationship Id="rId46" Type="http://schemas.openxmlformats.org/officeDocument/2006/relationships/header" Target="header3.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header" Target="header2.xml"/><Relationship Id="rId35" Type="http://schemas.openxmlformats.org/officeDocument/2006/relationships/footer" Target="footer30.xml"/><Relationship Id="rId34" Type="http://schemas.openxmlformats.org/officeDocument/2006/relationships/header" Target="header1.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7" Type="http://schemas.openxmlformats.org/officeDocument/2006/relationships/fontTable" Target="fontTable.xml"/><Relationship Id="rId126" Type="http://schemas.openxmlformats.org/officeDocument/2006/relationships/customXml" Target="../customXml/item1.xml"/><Relationship Id="rId125" Type="http://schemas.openxmlformats.org/officeDocument/2006/relationships/image" Target="media/image12.jpeg"/><Relationship Id="rId124" Type="http://schemas.openxmlformats.org/officeDocument/2006/relationships/image" Target="media/image11.png"/><Relationship Id="rId123" Type="http://schemas.openxmlformats.org/officeDocument/2006/relationships/image" Target="media/image10.jpeg"/><Relationship Id="rId122" Type="http://schemas.openxmlformats.org/officeDocument/2006/relationships/image" Target="media/image9.png"/><Relationship Id="rId121" Type="http://schemas.openxmlformats.org/officeDocument/2006/relationships/image" Target="media/image8.png"/><Relationship Id="rId120" Type="http://schemas.openxmlformats.org/officeDocument/2006/relationships/image" Target="media/image7.png"/><Relationship Id="rId12" Type="http://schemas.openxmlformats.org/officeDocument/2006/relationships/footer" Target="footer8.xml"/><Relationship Id="rId119" Type="http://schemas.openxmlformats.org/officeDocument/2006/relationships/image" Target="media/image6.png"/><Relationship Id="rId118" Type="http://schemas.openxmlformats.org/officeDocument/2006/relationships/image" Target="media/image5.png"/><Relationship Id="rId117" Type="http://schemas.openxmlformats.org/officeDocument/2006/relationships/image" Target="media/image4.jpeg"/><Relationship Id="rId116" Type="http://schemas.openxmlformats.org/officeDocument/2006/relationships/image" Target="media/image3.jpeg"/><Relationship Id="rId115" Type="http://schemas.openxmlformats.org/officeDocument/2006/relationships/theme" Target="theme/theme1.xml"/><Relationship Id="rId114" Type="http://schemas.openxmlformats.org/officeDocument/2006/relationships/footer" Target="footer106.xml"/><Relationship Id="rId113" Type="http://schemas.openxmlformats.org/officeDocument/2006/relationships/footer" Target="footer105.xml"/><Relationship Id="rId112" Type="http://schemas.openxmlformats.org/officeDocument/2006/relationships/footer" Target="footer104.xml"/><Relationship Id="rId111" Type="http://schemas.openxmlformats.org/officeDocument/2006/relationships/footer" Target="footer103.xml"/><Relationship Id="rId110" Type="http://schemas.openxmlformats.org/officeDocument/2006/relationships/footer" Target="footer102.xml"/><Relationship Id="rId11" Type="http://schemas.openxmlformats.org/officeDocument/2006/relationships/footer" Target="footer7.xml"/><Relationship Id="rId109" Type="http://schemas.openxmlformats.org/officeDocument/2006/relationships/footer" Target="footer101.xml"/><Relationship Id="rId108" Type="http://schemas.openxmlformats.org/officeDocument/2006/relationships/footer" Target="footer100.xml"/><Relationship Id="rId107" Type="http://schemas.openxmlformats.org/officeDocument/2006/relationships/footer" Target="footer99.xml"/><Relationship Id="rId106" Type="http://schemas.openxmlformats.org/officeDocument/2006/relationships/footer" Target="footer98.xml"/><Relationship Id="rId105" Type="http://schemas.openxmlformats.org/officeDocument/2006/relationships/footer" Target="footer97.xml"/><Relationship Id="rId104" Type="http://schemas.openxmlformats.org/officeDocument/2006/relationships/footer" Target="footer96.xml"/><Relationship Id="rId103" Type="http://schemas.openxmlformats.org/officeDocument/2006/relationships/footer" Target="footer95.xml"/><Relationship Id="rId102" Type="http://schemas.openxmlformats.org/officeDocument/2006/relationships/footer" Target="footer94.xml"/><Relationship Id="rId101" Type="http://schemas.openxmlformats.org/officeDocument/2006/relationships/footer" Target="footer93.xml"/><Relationship Id="rId100" Type="http://schemas.openxmlformats.org/officeDocument/2006/relationships/footer" Target="footer92.xml"/><Relationship Id="rId10" Type="http://schemas.openxmlformats.org/officeDocument/2006/relationships/footer" Target="footer6.xml"/><Relationship Id="rId1" Type="http://schemas.openxmlformats.org/officeDocument/2006/relationships/styles" Target="styles.xml"/></Relationships>
</file>

<file path=word/_rels/footer49.xml.rels><?xml version="1.0" encoding="UTF-8" standalone="yes"?>
<Relationships xmlns="http://schemas.openxmlformats.org/package/2006/relationships"><Relationship Id="rId1" Type="http://schemas.openxmlformats.org/officeDocument/2006/relationships/image" Target="media/image1.jpeg"/></Relationships>
</file>

<file path=word/_rels/footer10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Info spid="_x0000_s1032"/>
    <customShpInfo spid="_x0000_s1034"/>
    <customShpInfo spid="_x0000_s1035"/>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107</Pages>
  <Words>46614</Words>
  <Characters>54310</Characters>
  <TotalTime>20</TotalTime>
  <ScaleCrop>false</ScaleCrop>
  <LinksUpToDate>false</LinksUpToDate>
  <CharactersWithSpaces>59969</CharactersWithSpaces>
  <Application>WPS Office_11.1.0.12173_F1E327BC-269C-435d-A152-05C5408002CA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2025-09-24T11:14:00Z</dcterms:created>
  <dc:creator>hp</dc:creator>
  <cp:lastModifiedBy>song</cp:lastModifiedBy>
  <dcterms:modified xsi:type="dcterms:W3CDTF">2025-09-24T03:35:19Z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2025-09-24T11:14:55Z</vt:filetime>
  </property>
  <property fmtid="{D5CDD505-2E9C-101B-9397-08002B2CF9AE}" pid="4" name="UsrData">
    <vt:lpwstr>68d3621dacaf39001f3d4efbwl</vt:lpwstr>
  </property>
  <property fmtid="{D5CDD505-2E9C-101B-9397-08002B2CF9AE}" pid="5" name="KSOProductBuildVer">
    <vt:lpwstr>2052-11.1.0.12173</vt:lpwstr>
  </property>
  <property fmtid="{D5CDD505-2E9C-101B-9397-08002B2CF9AE}" pid="6" name="ICV">
    <vt:lpwstr>38CC0BEE9092435CB89304F78D0EEB35</vt:lpwstr>
  </property>
</Properties>
</file>