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numPr>
          <w:ilvl w:val="0"/>
          <w:numId w:val="1"/>
        </w:numPr>
        <w:spacing w:line="480" w:lineRule="auto"/>
        <w:jc w:val="center"/>
        <w:outlineLvl w:val="0"/>
        <w:rPr>
          <w:rFonts w:hint="eastAsia" w:ascii="仿宋_GB2312" w:hAnsi="仿宋_GB2312" w:eastAsia="仿宋_GB2312" w:cs="仿宋_GB2312"/>
          <w:b/>
          <w:bCs/>
          <w:sz w:val="10"/>
          <w:szCs w:val="10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给排水专业</w:t>
      </w:r>
    </w:p>
    <w:p>
      <w:pPr>
        <w:numPr>
          <w:ilvl w:val="0"/>
          <w:numId w:val="1"/>
        </w:numPr>
        <w:spacing w:line="480" w:lineRule="auto"/>
        <w:jc w:val="center"/>
        <w:outlineLvl w:val="0"/>
        <w:rPr>
          <w:rFonts w:hint="eastAsia" w:ascii="仿宋_GB2312" w:hAnsi="仿宋_GB2312" w:eastAsia="仿宋_GB2312" w:cs="仿宋_GB2312"/>
          <w:b/>
          <w:bCs/>
          <w:sz w:val="10"/>
          <w:szCs w:val="10"/>
        </w:rPr>
      </w:pPr>
    </w:p>
    <w:p>
      <w:pPr>
        <w:spacing w:line="360" w:lineRule="auto"/>
        <w:outlineLvl w:val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sz w:val="28"/>
          <w:szCs w:val="28"/>
        </w:rPr>
        <w:t>设计依据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1.《绿色建筑评价标准》GB/T50378-2014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2．《民用建筑节水设计标准》GB50555-2010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3.《民用建筑绿色设计规范》JGJ/T229-2010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4.《建筑与小区雨水利用工程技术规范》GB50400-2006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5．《建筑中水设计规范》GB50336-2002</w:t>
      </w:r>
    </w:p>
    <w:p>
      <w:pPr>
        <w:spacing w:line="360" w:lineRule="auto"/>
        <w:outlineLvl w:val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二、</w:t>
      </w:r>
      <w:r>
        <w:rPr>
          <w:rFonts w:hint="eastAsia" w:ascii="宋体" w:hAnsi="宋体" w:eastAsia="宋体" w:cs="宋体"/>
          <w:b/>
          <w:sz w:val="28"/>
          <w:szCs w:val="28"/>
        </w:rPr>
        <w:t>工程概况和用水水源情况：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工程概况：包括工程地点、规模、各类指标、功能、用水人数等。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用水水源情况：包括市政供水管、引入管方向及其管径、供水压力等。</w:t>
      </w:r>
    </w:p>
    <w:p>
      <w:pPr>
        <w:spacing w:line="360" w:lineRule="auto"/>
        <w:outlineLvl w:val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eastAsia="zh-CN"/>
        </w:rPr>
        <w:t>三、</w:t>
      </w:r>
      <w:r>
        <w:rPr>
          <w:rFonts w:hint="eastAsia" w:ascii="宋体" w:hAnsi="宋体" w:eastAsia="宋体" w:cs="宋体"/>
          <w:b/>
          <w:sz w:val="28"/>
          <w:szCs w:val="28"/>
        </w:rPr>
        <w:t>节水用水量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根据《民用建筑节水设计标准》GB 50555-2010第3.1.1条和3.1.2条的规定，各类用水量计算明细见下表。根据需要补充相关水量计算内容。</w:t>
      </w:r>
    </w:p>
    <w:p>
      <w:pPr>
        <w:pStyle w:val="19"/>
        <w:spacing w:beforeLines="100" w:line="480" w:lineRule="auto"/>
        <w:ind w:left="0" w:leftChars="0" w:firstLine="0" w:firstLineChars="0"/>
        <w:jc w:val="center"/>
        <w:rPr>
          <w:rFonts w:hint="eastAsia" w:ascii="宋体" w:hAnsi="宋体" w:eastAsia="宋体" w:cs="宋体"/>
          <w:b/>
          <w:kern w:val="36"/>
          <w:sz w:val="28"/>
          <w:szCs w:val="28"/>
        </w:rPr>
      </w:pPr>
      <w:r>
        <w:rPr>
          <w:rFonts w:hint="eastAsia" w:ascii="宋体" w:hAnsi="宋体" w:eastAsia="宋体" w:cs="宋体"/>
          <w:b/>
          <w:kern w:val="36"/>
          <w:sz w:val="28"/>
          <w:szCs w:val="28"/>
        </w:rPr>
        <w:t>生活用水节水用水量计算表0357-2013929</w:t>
      </w:r>
    </w:p>
    <w:tbl>
      <w:tblPr>
        <w:tblStyle w:val="14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134"/>
        <w:gridCol w:w="1134"/>
        <w:gridCol w:w="1134"/>
        <w:gridCol w:w="1134"/>
        <w:gridCol w:w="1134"/>
        <w:gridCol w:w="1134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序号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用水</w:t>
            </w:r>
          </w:p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部位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使用</w:t>
            </w:r>
          </w:p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数量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用水</w:t>
            </w:r>
          </w:p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定额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用水天数(d/a)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用水量(m</w:t>
            </w: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  <w:vertAlign w:val="superscript"/>
              </w:rPr>
              <w:t>3</w:t>
            </w: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平均日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  <w:t>全年</w:t>
            </w: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ind w:firstLine="0" w:firstLineChars="0"/>
              <w:jc w:val="center"/>
              <w:rPr>
                <w:rFonts w:hint="eastAsia" w:ascii="宋体" w:hAnsi="宋体" w:eastAsia="宋体" w:cs="宋体"/>
                <w:kern w:val="36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b/>
        </w:rPr>
      </w:pPr>
    </w:p>
    <w:p>
      <w:pPr>
        <w:spacing w:line="360" w:lineRule="auto"/>
        <w:outlineLvl w:val="0"/>
        <w:rPr>
          <w:rFonts w:hint="eastAsia"/>
          <w:b/>
        </w:rPr>
        <w:sectPr>
          <w:headerReference r:id="rId4" w:type="default"/>
          <w:footerReference r:id="rId5" w:type="default"/>
          <w:footerReference r:id="rId6" w:type="even"/>
          <w:pgSz w:w="11906" w:h="16838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</w:p>
    <w:p>
      <w:pPr>
        <w:spacing w:line="360" w:lineRule="auto"/>
        <w:outlineLvl w:val="0"/>
        <w:rPr>
          <w:b/>
        </w:rPr>
      </w:pPr>
      <w:r>
        <w:rPr>
          <w:rFonts w:hint="eastAsia"/>
          <w:b/>
          <w:bCs/>
          <w:sz w:val="28"/>
          <w:szCs w:val="28"/>
          <w:lang w:eastAsia="zh-CN"/>
        </w:rPr>
        <w:t>四、绿色节能</w:t>
      </w:r>
      <w:r>
        <w:rPr>
          <w:b/>
          <w:bCs/>
          <w:sz w:val="28"/>
          <w:szCs w:val="28"/>
        </w:rPr>
        <w:t>技术措施</w:t>
      </w:r>
      <w:r>
        <w:rPr>
          <w:rFonts w:hint="eastAsia"/>
          <w:b/>
          <w:bCs/>
          <w:sz w:val="28"/>
          <w:szCs w:val="28"/>
          <w:lang w:eastAsia="zh-CN"/>
        </w:rPr>
        <w:t>：</w:t>
      </w:r>
    </w:p>
    <w:p>
      <w:pPr>
        <w:spacing w:line="48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绿色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节能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技术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措施表</w:t>
      </w:r>
    </w:p>
    <w:tbl>
      <w:tblPr>
        <w:tblStyle w:val="14"/>
        <w:tblW w:w="14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8"/>
        <w:gridCol w:w="380"/>
        <w:gridCol w:w="740"/>
        <w:gridCol w:w="3020"/>
        <w:gridCol w:w="8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07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  <w:lang w:eastAsia="zh-CN"/>
              </w:rPr>
              <w:t>评价</w:t>
            </w:r>
            <w:r>
              <w:rPr>
                <w:rFonts w:hint="eastAsia" w:ascii="宋体" w:hAnsi="宋体"/>
                <w:b/>
                <w:kern w:val="0"/>
                <w:szCs w:val="21"/>
              </w:rPr>
              <w:t>指标类别</w:t>
            </w:r>
          </w:p>
        </w:tc>
        <w:tc>
          <w:tcPr>
            <w:tcW w:w="1120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/>
                <w:b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kern w:val="0"/>
                <w:szCs w:val="21"/>
                <w:lang w:eastAsia="zh-CN"/>
              </w:rPr>
              <w:t>指标类型</w:t>
            </w:r>
          </w:p>
        </w:tc>
        <w:tc>
          <w:tcPr>
            <w:tcW w:w="302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</w:rPr>
              <w:t>规范条文</w:t>
            </w:r>
          </w:p>
        </w:tc>
        <w:tc>
          <w:tcPr>
            <w:tcW w:w="895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b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</w:rPr>
              <w:t>设计做法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 w:cs="宋体"/>
                <w:b w:val="0"/>
                <w:bCs/>
                <w:color w:val="000000"/>
                <w:kern w:val="0"/>
                <w:szCs w:val="21"/>
              </w:rPr>
              <w:t>节水与水资源利用</w:t>
            </w:r>
          </w:p>
        </w:tc>
        <w:tc>
          <w:tcPr>
            <w:tcW w:w="1120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控制项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6.1.1</w:t>
            </w:r>
            <w:r>
              <w:rPr>
                <w:rFonts w:hint="eastAsia" w:hAnsi="宋体"/>
                <w:sz w:val="21"/>
                <w:szCs w:val="21"/>
              </w:rPr>
              <w:t xml:space="preserve"> 应制定水资源利用方案，统筹利用各种水资源。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sz w:val="22"/>
                <w:szCs w:val="22"/>
              </w:rPr>
            </w:pPr>
            <w:r>
              <w:rPr>
                <w:rFonts w:hint="eastAsia" w:hAnsi="宋体"/>
                <w:bCs/>
                <w:sz w:val="22"/>
                <w:szCs w:val="22"/>
              </w:rPr>
              <w:t xml:space="preserve">1. </w:t>
            </w:r>
            <w:r>
              <w:rPr>
                <w:rFonts w:hint="eastAsia" w:hAnsi="宋体"/>
                <w:bCs/>
                <w:sz w:val="22"/>
                <w:szCs w:val="22"/>
                <w:lang w:eastAsia="zh-CN"/>
              </w:rPr>
              <w:t>本工程进行了水资源利用方案编制，</w:t>
            </w:r>
            <w:r>
              <w:rPr>
                <w:rFonts w:hint="eastAsia" w:hAnsi="宋体"/>
                <w:bCs/>
                <w:sz w:val="22"/>
                <w:szCs w:val="22"/>
              </w:rPr>
              <w:t>详见水</w:t>
            </w:r>
            <w:r>
              <w:rPr>
                <w:rFonts w:hint="eastAsia" w:hAnsi="宋体"/>
                <w:sz w:val="22"/>
                <w:szCs w:val="22"/>
              </w:rPr>
              <w:t>资源利用</w:t>
            </w:r>
            <w:r>
              <w:rPr>
                <w:rFonts w:hint="eastAsia" w:hAnsi="宋体"/>
                <w:bCs/>
                <w:sz w:val="22"/>
                <w:szCs w:val="22"/>
              </w:rPr>
              <w:t>方案（独立文本）。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4" w:hRule="atLeast"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20" w:type="dxa"/>
            <w:gridSpan w:val="2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 xml:space="preserve">6.1.2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给排水系统设置应合理、完善、安全。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1.本给排水系统设计符合国家标准规范的相关规定。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2.本</w:t>
            </w:r>
            <w:r>
              <w:rPr>
                <w:rFonts w:hint="eastAsia" w:hAnsi="宋体"/>
                <w:color w:val="auto"/>
                <w:sz w:val="21"/>
                <w:szCs w:val="21"/>
                <w:lang w:eastAsia="zh-CN"/>
              </w:rPr>
              <w:t>工程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给水（热水）系统竖向分区情况；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层以下为低区，由（市政供水管直接）供水，充分利用市政供水压力；</w:t>
            </w:r>
            <w:r>
              <w:rPr>
                <w:rFonts w:hint="eastAsia" w:hAnsi="宋体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层以上为高区，采用（恒压变频供水设备/无负压供水设备）供水；各分区最低卫生器具配水点处的静水压不大于0.45Mpa，并采取了减压限流的节水措施。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3.本</w:t>
            </w:r>
            <w:r>
              <w:rPr>
                <w:rFonts w:hint="eastAsia" w:hAnsi="宋体"/>
                <w:color w:val="auto"/>
                <w:sz w:val="21"/>
                <w:szCs w:val="21"/>
                <w:lang w:eastAsia="zh-CN"/>
              </w:rPr>
              <w:t>设计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根据用水要求的不同，各类给水水质已在设计说明中提出明确要求，满足国家相应规范要求。</w:t>
            </w:r>
          </w:p>
          <w:p>
            <w:pPr>
              <w:pStyle w:val="17"/>
              <w:jc w:val="both"/>
              <w:rPr>
                <w:rFonts w:ascii="Times New Roman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4.本</w:t>
            </w:r>
            <w:r>
              <w:rPr>
                <w:rFonts w:hint="eastAsia" w:hAnsi="宋体"/>
                <w:color w:val="auto"/>
                <w:sz w:val="21"/>
                <w:szCs w:val="21"/>
                <w:lang w:eastAsia="zh-CN"/>
              </w:rPr>
              <w:t>工程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热水供应采用（局部、集中）热水供应系统；集中热水供应系统采用（强制/自然）循环方式，设（干、立管）循环。采取措施保证冷热水系统压力平衡。（医院、旅馆等公共建筑用水点出水温度达到45℃的放水时间不大于10秒）。</w:t>
            </w:r>
            <w:r>
              <w:rPr>
                <w:rFonts w:hAnsi="宋体"/>
                <w:color w:val="auto"/>
                <w:sz w:val="21"/>
                <w:szCs w:val="21"/>
              </w:rPr>
              <w:t xml:space="preserve"> 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5.本</w:t>
            </w:r>
            <w:r>
              <w:rPr>
                <w:rFonts w:hint="eastAsia" w:hAnsi="宋体"/>
                <w:color w:val="auto"/>
                <w:sz w:val="21"/>
                <w:szCs w:val="21"/>
                <w:lang w:eastAsia="zh-CN"/>
              </w:rPr>
              <w:t>设计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对管材、管道附件及设备等供水设施的选取和运行提出的选材选型要求如下：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（</w:t>
            </w:r>
            <w:r>
              <w:rPr>
                <w:rFonts w:hint="eastAsia" w:hAnsi="宋体"/>
                <w:i/>
                <w:iCs/>
                <w:color w:val="FF0000"/>
                <w:sz w:val="21"/>
                <w:szCs w:val="21"/>
              </w:rPr>
              <w:t>例如：给水管材采用了PPR管等简单描述）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，不会对供水造成二次污染。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6.本设计加压系统选用了（变频供水、高效水泵、叠压供水设备等）相对节能高效的设备。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7.本设计采用了（雨污分流、污废分流）系统。楼内生活污水排入室外污水管道，经（化粪池、污水处理站）处理后排入市政污水管道，废水、屋面雨水采用重力流内排水系统排至室外管网（或回收为中水系统原水）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8.本设计中（是/否）采用了雨水利用系统，雨水池容积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m³，设置于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</w:t>
            </w:r>
            <w:r>
              <w:rPr>
                <w:rFonts w:hint="eastAsia" w:hAnsi="宋体"/>
                <w:color w:val="FF0000"/>
                <w:sz w:val="21"/>
                <w:szCs w:val="21"/>
              </w:rPr>
              <w:t>（</w:t>
            </w:r>
            <w:r>
              <w:rPr>
                <w:rFonts w:hint="eastAsia" w:hAnsi="宋体"/>
                <w:i/>
                <w:iCs/>
                <w:color w:val="FF0000"/>
                <w:sz w:val="21"/>
                <w:szCs w:val="21"/>
              </w:rPr>
              <w:t>净化处理方式简单描述）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9.本设计（是/否）采用了中水回用非传统水源。中水水源为（市政/自设），并在设计中提出了用水安全保障措施，详见中水设计图。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4" w:hRule="atLeast"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20" w:type="dxa"/>
            <w:gridSpan w:val="2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6.1.3 应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采用节水器具。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本设计采</w:t>
            </w:r>
            <w:r>
              <w:rPr>
                <w:rFonts w:hAnsi="宋体"/>
                <w:color w:val="auto"/>
                <w:sz w:val="21"/>
                <w:szCs w:val="21"/>
              </w:rPr>
              <w:t>用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了</w:t>
            </w:r>
            <w:r>
              <w:rPr>
                <w:rFonts w:hAnsi="宋体"/>
                <w:color w:val="auto"/>
                <w:sz w:val="21"/>
                <w:szCs w:val="21"/>
              </w:rPr>
              <w:t>节水器具和设备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（</w:t>
            </w:r>
            <w:r>
              <w:rPr>
                <w:rFonts w:hint="eastAsia" w:hAnsi="宋体"/>
                <w:i/>
                <w:color w:val="auto"/>
                <w:sz w:val="21"/>
                <w:szCs w:val="21"/>
              </w:rPr>
              <w:t>简要说明节水器具选型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），卫生器具的选用满足《节水型生活用水器具》CJ164及《节水型产品技术条件与管理通则》GB/T18870的要求。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评分</w:t>
            </w:r>
            <w:r>
              <w:rPr>
                <w:rFonts w:hint="eastAsia" w:ascii="宋体" w:hAnsi="宋体"/>
                <w:kern w:val="0"/>
                <w:szCs w:val="21"/>
              </w:rPr>
              <w:t>项</w:t>
            </w:r>
          </w:p>
        </w:tc>
        <w:tc>
          <w:tcPr>
            <w:tcW w:w="74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Ⅰ节水系统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 xml:space="preserve">6.2.2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采取有效措施避免管网漏损：</w:t>
            </w:r>
            <w:r>
              <w:rPr>
                <w:rFonts w:hAnsi="宋体"/>
                <w:color w:val="auto"/>
                <w:sz w:val="21"/>
                <w:szCs w:val="21"/>
              </w:rPr>
              <w:t xml:space="preserve"> </w:t>
            </w:r>
          </w:p>
          <w:p>
            <w:pPr>
              <w:pStyle w:val="17"/>
              <w:ind w:firstLine="420" w:firstLineChars="200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Ansi="宋体"/>
                <w:color w:val="auto"/>
                <w:sz w:val="21"/>
                <w:szCs w:val="21"/>
              </w:rPr>
              <w:t>1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　选用密闭性能好的阀门、设备，使用耐腐蚀、耐久性能好的管材、管件；</w:t>
            </w:r>
          </w:p>
          <w:p>
            <w:pPr>
              <w:pStyle w:val="17"/>
              <w:ind w:firstLine="420" w:firstLineChars="200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  室外埋地管道应采取有效措施避免管网漏损。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1. 本设计</w:t>
            </w:r>
            <w:r>
              <w:rPr>
                <w:rFonts w:hint="eastAsia" w:hAnsi="宋体"/>
                <w:sz w:val="21"/>
                <w:szCs w:val="21"/>
              </w:rPr>
              <w:t>选用了</w:t>
            </w:r>
            <w:r>
              <w:rPr>
                <w:rFonts w:hint="eastAsia" w:hAnsi="宋体"/>
                <w:sz w:val="21"/>
                <w:szCs w:val="21"/>
                <w:u w:val="single"/>
              </w:rPr>
              <w:t xml:space="preserve">          </w:t>
            </w:r>
            <w:r>
              <w:rPr>
                <w:rFonts w:hint="eastAsia" w:hAnsi="宋体"/>
                <w:sz w:val="21"/>
                <w:szCs w:val="21"/>
              </w:rPr>
              <w:t>管材、管件，其耐腐蚀、耐久性好，并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符合现行产品标准的要求。给水管道采用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连接方式，</w:t>
            </w:r>
            <w:r>
              <w:rPr>
                <w:rFonts w:hAnsi="宋体"/>
                <w:color w:val="auto"/>
                <w:sz w:val="21"/>
                <w:szCs w:val="21"/>
              </w:rPr>
              <w:t>管道和管件的工作压力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MPa，</w:t>
            </w:r>
            <w:r>
              <w:rPr>
                <w:rFonts w:hAnsi="宋体"/>
                <w:color w:val="auto"/>
                <w:sz w:val="21"/>
                <w:szCs w:val="21"/>
              </w:rPr>
              <w:t>管件与管道配套提供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2. 本设计选用了密闭性能好的高性能阀门、</w:t>
            </w:r>
            <w:r>
              <w:rPr>
                <w:rFonts w:hint="eastAsia" w:ascii="Times New Roman"/>
                <w:sz w:val="21"/>
                <w:szCs w:val="21"/>
              </w:rPr>
              <w:t>零泄漏阀门：</w:t>
            </w:r>
            <w:r>
              <w:rPr>
                <w:rFonts w:hint="eastAsia" w:ascii="Times New Roman"/>
                <w:sz w:val="21"/>
                <w:szCs w:val="21"/>
                <w:u w:val="single"/>
              </w:rPr>
              <w:t xml:space="preserve">       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。</w:t>
            </w:r>
          </w:p>
          <w:p>
            <w:pPr>
              <w:pStyle w:val="17"/>
              <w:jc w:val="both"/>
              <w:rPr>
                <w:rFonts w:hAnsi="宋体"/>
                <w:i/>
                <w:iCs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3. 本设计室外埋地管道采取以下有效防止管网漏损的措施：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hAnsi="宋体"/>
                <w:i/>
                <w:iCs/>
                <w:color w:val="FF0000"/>
                <w:sz w:val="21"/>
                <w:szCs w:val="21"/>
              </w:rPr>
              <w:t>（管道敷设及基础处理方式，控制管道埋深，防腐蚀措施等）</w:t>
            </w:r>
            <w:r>
              <w:rPr>
                <w:rFonts w:hint="eastAsia" w:hAnsi="宋体"/>
                <w:i/>
                <w:iCs/>
                <w:color w:val="auto"/>
                <w:sz w:val="21"/>
                <w:szCs w:val="21"/>
              </w:rPr>
              <w:t>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4. 本设计水池、水箱设置了溢流报警，进水阀门采取了自动联动方式关闭。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 xml:space="preserve">6.2.3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给水系统无超压出流现象，用水点供水压力不大于</w:t>
            </w:r>
            <w:r>
              <w:rPr>
                <w:rFonts w:hAnsi="宋体"/>
                <w:color w:val="auto"/>
                <w:sz w:val="21"/>
                <w:szCs w:val="21"/>
              </w:rPr>
              <w:t>0.20MPa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，且不小于用水器具要求的最低工作压力。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本项目给水、热水供水系统中配水支管处供水压力值大于0.20MPa者均设（支管减压阀/减压孔板），控制各用水点处水压小于或等于0.20MPa，并满足了给水配件最低工作压力要求。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6.2.4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 设置用水计量装置：</w:t>
            </w:r>
            <w:r>
              <w:rPr>
                <w:rFonts w:hAnsi="宋体"/>
                <w:color w:val="auto"/>
                <w:sz w:val="21"/>
                <w:szCs w:val="21"/>
              </w:rPr>
              <w:t xml:space="preserve"> </w:t>
            </w:r>
          </w:p>
          <w:p>
            <w:pPr>
              <w:pStyle w:val="17"/>
              <w:ind w:firstLine="420" w:firstLineChars="200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Ansi="宋体"/>
                <w:color w:val="auto"/>
                <w:sz w:val="21"/>
                <w:szCs w:val="21"/>
              </w:rPr>
              <w:t>1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　按使用用途，对厨房、卫生间、绿化、空调系统、游泳池、景观等用水分别设置用水计量装置、统计用水量；</w:t>
            </w:r>
          </w:p>
          <w:p>
            <w:pPr>
              <w:pStyle w:val="17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  　</w:t>
            </w:r>
            <w:r>
              <w:rPr>
                <w:rFonts w:hAnsi="宋体"/>
                <w:color w:val="auto"/>
                <w:sz w:val="21"/>
                <w:szCs w:val="21"/>
              </w:rPr>
              <w:t>2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　按付费或管理单元，分别设置用水计量装置、统计用水量。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1.本设计按使用用途，对（公共厨房、卫生间、绿化、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空调系统、游泳池、</w:t>
            </w:r>
            <w:r>
              <w:rPr>
                <w:rFonts w:hint="eastAsia"/>
                <w:sz w:val="21"/>
                <w:szCs w:val="21"/>
              </w:rPr>
              <w:t>景观）等用水分别设置用水计量装置。</w:t>
            </w:r>
          </w:p>
          <w:p>
            <w:pPr>
              <w:pStyle w:val="17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2.本设计按（付费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/>
                <w:sz w:val="21"/>
                <w:szCs w:val="21"/>
              </w:rPr>
              <w:t>管理）单元，分别设置了用水计量装置。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6.2.5 公共浴室采取节水措施。</w:t>
            </w:r>
          </w:p>
          <w:p>
            <w:pPr>
              <w:pStyle w:val="17"/>
              <w:ind w:firstLine="420" w:firstLineChars="200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　设置用者付费的措施。</w:t>
            </w:r>
          </w:p>
        </w:tc>
        <w:tc>
          <w:tcPr>
            <w:tcW w:w="8957" w:type="dxa"/>
            <w:vAlign w:val="center"/>
          </w:tcPr>
          <w:p>
            <w:pPr>
              <w:rPr>
                <w:rFonts w:hAnsi="宋体"/>
                <w:szCs w:val="21"/>
              </w:rPr>
            </w:pPr>
            <w:r>
              <w:rPr>
                <w:rFonts w:hint="eastAsia"/>
                <w:szCs w:val="21"/>
              </w:rPr>
              <w:t>1.本设计中的公共浴室</w:t>
            </w:r>
            <w:r>
              <w:rPr>
                <w:rFonts w:hint="eastAsia" w:hAnsi="宋体"/>
                <w:szCs w:val="21"/>
              </w:rPr>
              <w:t>淋浴器采用了（IC卡刷卡）用水的节水措施。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(项目无公共浴室在此处说明)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restart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Ⅱ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节水器具与设备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 xml:space="preserve">6.2.6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使用较高用水效率等级的卫生器具，用水效率等级达到三级。</w:t>
            </w:r>
          </w:p>
        </w:tc>
        <w:tc>
          <w:tcPr>
            <w:tcW w:w="8957" w:type="dxa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 w:hAnsi="宋体"/>
                <w:szCs w:val="21"/>
              </w:rPr>
            </w:pPr>
            <w:r>
              <w:rPr>
                <w:rFonts w:hint="eastAsia"/>
                <w:szCs w:val="21"/>
              </w:rPr>
              <w:t>本设计</w:t>
            </w:r>
            <w:r>
              <w:rPr>
                <w:rFonts w:hint="eastAsia" w:hAnsi="宋体"/>
                <w:szCs w:val="21"/>
              </w:rPr>
              <w:t>坐便器采用（带两档冲水的6L低水箱式）；洗脸盆、洗手盆、洗涤盆采用（陶瓷片等密封耐用、性能优良的水嘴）；淋浴器采用（</w:t>
            </w:r>
            <w:r>
              <w:rPr>
                <w:rFonts w:hint="eastAsia" w:cs="宋体"/>
              </w:rPr>
              <w:t>节水型淋浴喷嘴）；</w:t>
            </w:r>
            <w:r>
              <w:rPr>
                <w:rFonts w:hint="eastAsia" w:hAnsi="宋体"/>
                <w:szCs w:val="21"/>
              </w:rPr>
              <w:t>公共卫生间大便器、小便器采用（自闭式/感应式冲洗阀）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eastAsia" w:ascii="宋体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用于居住建筑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）</w:t>
            </w:r>
            <w:r>
              <w:rPr>
                <w:rFonts w:hint="eastAsia" w:hAnsi="宋体"/>
                <w:szCs w:val="21"/>
              </w:rPr>
              <w:t>；</w:t>
            </w:r>
          </w:p>
          <w:p>
            <w:pPr>
              <w:numPr>
                <w:ilvl w:val="0"/>
                <w:numId w:val="2"/>
              </w:numPr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公共卫生间的水嘴采用（自动感应式控制）；</w:t>
            </w:r>
            <w:r>
              <w:rPr>
                <w:rFonts w:hint="eastAsia" w:cs="宋体"/>
              </w:rPr>
              <w:t>公共浴室淋浴器采用（恒温混合阀、脚踏开关）等</w:t>
            </w:r>
            <w:r>
              <w:rPr>
                <w:rFonts w:hint="eastAsia" w:hAnsi="宋体"/>
                <w:szCs w:val="21"/>
              </w:rPr>
              <w:t>。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eastAsia" w:ascii="宋体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用于公共建筑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）</w:t>
            </w:r>
          </w:p>
          <w:p>
            <w:pPr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2.本工程采用的卫生器具用水效率等级达到（ 三/二 ）级。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4" w:hRule="atLeast"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6.2.7 绿化灌溉采用高效节水灌溉方式。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1. </w:t>
            </w:r>
            <w:r>
              <w:rPr>
                <w:rFonts w:hint="eastAsia" w:hAnsi="宋体"/>
                <w:color w:val="auto"/>
                <w:sz w:val="21"/>
                <w:szCs w:val="21"/>
                <w:lang w:eastAsia="zh-CN"/>
              </w:rPr>
              <w:t>本设计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%的绿化面积采用（喷灌、微灌、渗灌等</w:t>
            </w:r>
            <w:r>
              <w:rPr>
                <w:rFonts w:hAnsi="宋体"/>
                <w:color w:val="auto"/>
                <w:sz w:val="21"/>
                <w:szCs w:val="21"/>
              </w:rPr>
              <w:t>）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节水灌溉方式。水源采用（ 生活给水、雨水、中水 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020" w:type="dxa"/>
            <w:vAlign w:val="center"/>
          </w:tcPr>
          <w:p>
            <w:pPr>
              <w:pStyle w:val="17"/>
              <w:ind w:left="0" w:leftChars="0" w:firstLine="0" w:firstLineChars="0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6.2.8 空调设备或系统采用节水冷却技术。</w:t>
            </w:r>
          </w:p>
          <w:p>
            <w:pPr>
              <w:pStyle w:val="17"/>
              <w:ind w:left="0" w:leftChars="0" w:firstLine="0" w:firstLineChars="0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　 1 循环冷却水系统设置水处理措施；采取加大集水盘、设置平衡管或平衡水箱的方式，避免冷却水泵停泵时冷却水溢出。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本设计采用了（分体空调、水冷式冷水机组、风冷式冷水机组、风冷式多联机、地源热泵、干式运行的闭式冷却塔等）， </w:t>
            </w:r>
            <w:r>
              <w:rPr>
                <w:rFonts w:hAnsi="宋体"/>
                <w:color w:val="auto"/>
                <w:sz w:val="21"/>
                <w:szCs w:val="21"/>
              </w:rPr>
              <w:t>冷却塔选用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采用了加大集水盘（设置平衡管）的节水冷却技术。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如未采用空调设备或系统、或空调未采取冷却水系统在此处注明。</w:t>
            </w:r>
            <w:r>
              <w:rPr>
                <w:rFonts w:hint="eastAsia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78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380" w:type="dxa"/>
            <w:vMerge w:val="continue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7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Ⅲ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1"/>
                <w:lang w:eastAsia="zh-CN"/>
              </w:rPr>
              <w:t>非传统水源利用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bCs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 xml:space="preserve">6.2.12 </w:t>
            </w:r>
            <w:r>
              <w:rPr>
                <w:rFonts w:hint="eastAsia"/>
                <w:bCs/>
                <w:sz w:val="21"/>
                <w:szCs w:val="21"/>
              </w:rPr>
              <w:t>结合雨水利用设施进行景观水体设计，景观水体利用雨水的补水量大于其水体蒸发量的6</w:t>
            </w:r>
            <w:r>
              <w:rPr>
                <w:bCs/>
                <w:sz w:val="21"/>
                <w:szCs w:val="21"/>
              </w:rPr>
              <w:t>0%</w:t>
            </w:r>
            <w:r>
              <w:rPr>
                <w:rFonts w:hint="eastAsia"/>
                <w:bCs/>
                <w:sz w:val="21"/>
                <w:szCs w:val="21"/>
              </w:rPr>
              <w:t>，且采用生态水处理技术保障水体水质。</w:t>
            </w:r>
          </w:p>
          <w:p>
            <w:pPr>
              <w:pStyle w:val="17"/>
              <w:ind w:firstLine="405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>
              <w:rPr>
                <w:rFonts w:hint="eastAsia"/>
                <w:bCs/>
                <w:sz w:val="21"/>
                <w:szCs w:val="21"/>
              </w:rPr>
              <w:t>　对进入景观水体的雨水采取控制面源污染的措施；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1．在雨水进入景观水体之前设置（前置塘、缓冲带等）前处理设施，屋面和道路雨水接入绿地，经（绿地、植草沟等）处理后再进入景观水体，有效控制雨水面源污染。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2．景观水体年蒸发量为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m</w:t>
            </w:r>
            <w:r>
              <w:rPr>
                <w:rFonts w:hint="eastAsia" w:hAnsi="宋体"/>
                <w:color w:val="auto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，利用雨水的年补水量为</w:t>
            </w:r>
            <w:r>
              <w:rPr>
                <w:rFonts w:hint="eastAsia" w:hAnsi="宋体"/>
                <w:color w:val="auto"/>
                <w:sz w:val="21"/>
                <w:szCs w:val="21"/>
                <w:u w:val="single" w:color="auto"/>
                <w:lang w:val="en-US" w:eastAsia="zh-CN"/>
              </w:rPr>
              <w:t xml:space="preserve">    </w:t>
            </w:r>
            <w:bookmarkStart w:id="0" w:name="_GoBack"/>
            <w:bookmarkEnd w:id="0"/>
            <w:r>
              <w:rPr>
                <w:rFonts w:hint="eastAsia" w:hAnsi="宋体"/>
                <w:color w:val="auto"/>
                <w:sz w:val="21"/>
                <w:szCs w:val="21"/>
              </w:rPr>
              <w:t>m</w:t>
            </w:r>
            <w:r>
              <w:rPr>
                <w:rFonts w:hint="eastAsia" w:hAnsi="宋体"/>
                <w:color w:val="auto"/>
                <w:sz w:val="21"/>
                <w:szCs w:val="21"/>
                <w:vertAlign w:val="superscript"/>
              </w:rPr>
              <w:t>3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，补水量是其水体蒸发量的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 </w:t>
            </w:r>
            <w:r>
              <w:rPr>
                <w:rFonts w:hAnsi="宋体"/>
                <w:color w:val="auto"/>
                <w:sz w:val="21"/>
                <w:szCs w:val="21"/>
              </w:rPr>
              <w:t>%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如未设景观水体，应在此处注明。</w:t>
            </w:r>
            <w:r>
              <w:rPr>
                <w:rFonts w:hint="eastAsia" w:hAnsi="宋体" w:cs="宋体"/>
                <w:i/>
                <w:iCs/>
                <w:color w:val="FF0000"/>
                <w:kern w:val="0"/>
                <w:sz w:val="21"/>
                <w:szCs w:val="21"/>
                <w:lang w:val="en-US" w:eastAsia="zh-CN" w:bidi="ar-SA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  <w:jc w:val="center"/>
        </w:trPr>
        <w:tc>
          <w:tcPr>
            <w:tcW w:w="1078" w:type="dxa"/>
            <w:vAlign w:val="center"/>
          </w:tcPr>
          <w:p>
            <w:pPr>
              <w:jc w:val="center"/>
              <w:rPr>
                <w:rFonts w:ascii="宋体" w:hAnsi="宋体"/>
                <w:b w:val="0"/>
                <w:bCs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Cs w:val="21"/>
              </w:rPr>
              <w:t>节能与能源利用</w:t>
            </w:r>
          </w:p>
        </w:tc>
        <w:tc>
          <w:tcPr>
            <w:tcW w:w="380" w:type="dxa"/>
            <w:vAlign w:val="center"/>
          </w:tcPr>
          <w:p>
            <w:pPr>
              <w:jc w:val="left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评</w:t>
            </w:r>
          </w:p>
          <w:p>
            <w:pPr>
              <w:jc w:val="left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分</w:t>
            </w:r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Ⅳ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能量综合利用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hAnsi="宋体"/>
                <w:sz w:val="21"/>
                <w:szCs w:val="21"/>
              </w:rPr>
            </w:pPr>
            <w:r>
              <w:rPr>
                <w:rFonts w:hint="eastAsia" w:ascii="Times New Roman" w:hAnsi="宋体" w:cs="Times New Roman"/>
                <w:color w:val="auto"/>
                <w:kern w:val="2"/>
                <w:sz w:val="21"/>
                <w:szCs w:val="21"/>
              </w:rPr>
              <w:t>5.2.16</w:t>
            </w:r>
            <w:r>
              <w:rPr>
                <w:rFonts w:hint="eastAsia"/>
                <w:bCs/>
                <w:sz w:val="21"/>
                <w:szCs w:val="21"/>
              </w:rPr>
              <w:t>根据当地气候和自然资源条件，合理利用可再生能源。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</w:rPr>
              <w:t>1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．生活热水的热源由（太阳能/地热能）提供。采用（集中/集中-分散/分散）供热水系统。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2．设计小时耗热量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kJ/h，最大小时热水量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m3/h，太阳能系统（平板型/真空管）集热器面积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m2，贮热水箱容积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 xml:space="preserve">m3，采用（强制/自然）循环方式，（直接/间接）加热生活热水。 </w:t>
            </w:r>
          </w:p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3.由太阳能提供的生活用热水比例为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   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9" w:hRule="atLeast"/>
          <w:jc w:val="center"/>
        </w:trPr>
        <w:tc>
          <w:tcPr>
            <w:tcW w:w="1078" w:type="dxa"/>
            <w:vAlign w:val="center"/>
          </w:tcPr>
          <w:p>
            <w:pPr>
              <w:jc w:val="center"/>
              <w:rPr>
                <w:rFonts w:ascii="宋体" w:hAnsi="宋体"/>
                <w:b w:val="0"/>
                <w:bCs/>
                <w:szCs w:val="21"/>
              </w:rPr>
            </w:pPr>
          </w:p>
          <w:p>
            <w:pPr>
              <w:jc w:val="center"/>
              <w:rPr>
                <w:rFonts w:ascii="宋体" w:hAnsi="宋体"/>
                <w:b w:val="0"/>
                <w:bCs/>
                <w:szCs w:val="21"/>
              </w:rPr>
            </w:pPr>
            <w:r>
              <w:rPr>
                <w:rFonts w:hint="eastAsia" w:ascii="宋体" w:hAnsi="宋体"/>
                <w:b w:val="0"/>
                <w:bCs/>
                <w:szCs w:val="21"/>
              </w:rPr>
              <w:t>室内环境质量</w:t>
            </w:r>
          </w:p>
        </w:tc>
        <w:tc>
          <w:tcPr>
            <w:tcW w:w="380" w:type="dxa"/>
            <w:vAlign w:val="center"/>
          </w:tcPr>
          <w:p>
            <w:pPr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评</w:t>
            </w:r>
          </w:p>
          <w:p>
            <w:pPr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分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Ⅰ</w:t>
            </w:r>
          </w:p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室内声环境</w:t>
            </w:r>
          </w:p>
        </w:tc>
        <w:tc>
          <w:tcPr>
            <w:tcW w:w="3020" w:type="dxa"/>
            <w:vAlign w:val="center"/>
          </w:tcPr>
          <w:p>
            <w:pPr>
              <w:pStyle w:val="17"/>
              <w:jc w:val="both"/>
              <w:rPr>
                <w:rFonts w:ascii="Times New Roman" w:hAnsi="宋体" w:cs="Times New Roman"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Times New Roman" w:hAnsi="宋体" w:cs="Times New Roman"/>
                <w:color w:val="auto"/>
                <w:kern w:val="2"/>
                <w:sz w:val="21"/>
                <w:szCs w:val="21"/>
              </w:rPr>
              <w:t>8.2.3采取减少噪声干扰的措施。</w:t>
            </w:r>
          </w:p>
          <w:p>
            <w:pPr>
              <w:pStyle w:val="18"/>
              <w:ind w:firstLine="420"/>
              <w:rPr>
                <w:rFonts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采用同层排水或其他降低排水噪声的有效措施，使用率不小于50%。</w:t>
            </w:r>
          </w:p>
        </w:tc>
        <w:tc>
          <w:tcPr>
            <w:tcW w:w="8957" w:type="dxa"/>
            <w:vAlign w:val="center"/>
          </w:tcPr>
          <w:p>
            <w:pPr>
              <w:pStyle w:val="17"/>
              <w:jc w:val="both"/>
              <w:rPr>
                <w:rFonts w:hAnsi="宋体"/>
                <w:color w:val="auto"/>
                <w:sz w:val="21"/>
                <w:szCs w:val="21"/>
              </w:rPr>
            </w:pPr>
            <w:r>
              <w:rPr>
                <w:rFonts w:hint="eastAsia" w:hAnsi="宋体"/>
                <w:color w:val="auto"/>
                <w:sz w:val="21"/>
                <w:szCs w:val="21"/>
              </w:rPr>
              <w:t>采用同层排水，套数采用率在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hAnsi="宋体"/>
                <w:color w:val="auto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%。排水管材采用（超静音管、</w:t>
            </w:r>
            <w:r>
              <w:rPr>
                <w:rFonts w:hint="eastAsia" w:hAnsi="宋体"/>
                <w:color w:val="FF0000"/>
                <w:sz w:val="21"/>
                <w:szCs w:val="21"/>
              </w:rPr>
              <w:t>排水铸铁管</w:t>
            </w:r>
            <w:r>
              <w:rPr>
                <w:rFonts w:hint="eastAsia" w:hAnsi="宋体"/>
                <w:color w:val="auto"/>
                <w:sz w:val="21"/>
                <w:szCs w:val="21"/>
              </w:rPr>
              <w:t>等）。</w:t>
            </w:r>
          </w:p>
        </w:tc>
      </w:tr>
    </w:tbl>
    <w:p>
      <w:pPr>
        <w:rPr>
          <w:color w:val="FF0000"/>
          <w:sz w:val="10"/>
          <w:szCs w:val="10"/>
        </w:rPr>
      </w:pPr>
    </w:p>
    <w:sectPr>
      <w:pgSz w:w="16838" w:h="11906" w:orient="landscape"/>
      <w:pgMar w:top="1440" w:right="1800" w:bottom="1440" w:left="1800" w:header="851" w:footer="992" w:gutter="0"/>
      <w:paperSrc w:first="0" w:other="0"/>
      <w:cols w:space="720" w:num="1"/>
      <w:rtlGutter w:val="0"/>
      <w:docGrid w:type="lines" w:linePitch="32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1</w:t>
    </w:r>
    <w:r>
      <w:rPr>
        <w:rStyle w:val="12"/>
      </w:rP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framePr w:wrap="around" w:vAnchor="text" w:hAnchor="margin" w:xAlign="center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27958627">
    <w:nsid w:val="551CEB63"/>
    <w:multiLevelType w:val="singleLevel"/>
    <w:tmpl w:val="551CEB63"/>
    <w:lvl w:ilvl="0" w:tentative="1">
      <w:start w:val="1"/>
      <w:numFmt w:val="decimal"/>
      <w:suff w:val="nothing"/>
      <w:lvlText w:val="%1."/>
      <w:lvlJc w:val="left"/>
    </w:lvl>
  </w:abstractNum>
  <w:abstractNum w:abstractNumId="1428026373">
    <w:nsid w:val="551DF405"/>
    <w:multiLevelType w:val="singleLevel"/>
    <w:tmpl w:val="551DF405"/>
    <w:lvl w:ilvl="0" w:tentative="1">
      <w:start w:val="3"/>
      <w:numFmt w:val="decimal"/>
      <w:suff w:val="nothing"/>
      <w:lvlText w:val="%1、"/>
      <w:lvlJc w:val="left"/>
    </w:lvl>
  </w:abstractNum>
  <w:num w:numId="1">
    <w:abstractNumId w:val="1428026373"/>
  </w:num>
  <w:num w:numId="2">
    <w:abstractNumId w:val="14279586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 w:val="1"/>
  <w:bordersDoNotSurroundFooter w:val="1"/>
  <w:documentProtection w:enforcement="0"/>
  <w:defaultTabStop w:val="420"/>
  <w:drawingGridHorizontalSpacing w:val="105"/>
  <w:drawingGridVerticalSpacing w:val="161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62623"/>
    <w:rsid w:val="00003383"/>
    <w:rsid w:val="00007F4F"/>
    <w:rsid w:val="00010BC8"/>
    <w:rsid w:val="000126D3"/>
    <w:rsid w:val="00016CE4"/>
    <w:rsid w:val="0002192F"/>
    <w:rsid w:val="00022EFA"/>
    <w:rsid w:val="00024E9F"/>
    <w:rsid w:val="00025CF5"/>
    <w:rsid w:val="000304EE"/>
    <w:rsid w:val="000312A6"/>
    <w:rsid w:val="00032FAA"/>
    <w:rsid w:val="00036DD4"/>
    <w:rsid w:val="0004384B"/>
    <w:rsid w:val="0004450B"/>
    <w:rsid w:val="00050E20"/>
    <w:rsid w:val="00052412"/>
    <w:rsid w:val="0005280C"/>
    <w:rsid w:val="000541E9"/>
    <w:rsid w:val="000604AF"/>
    <w:rsid w:val="00062C64"/>
    <w:rsid w:val="00073654"/>
    <w:rsid w:val="000820DA"/>
    <w:rsid w:val="0008351C"/>
    <w:rsid w:val="000863C6"/>
    <w:rsid w:val="0008721A"/>
    <w:rsid w:val="00093980"/>
    <w:rsid w:val="00095EBC"/>
    <w:rsid w:val="000A32B8"/>
    <w:rsid w:val="000A3BD6"/>
    <w:rsid w:val="000A76A1"/>
    <w:rsid w:val="000B13B5"/>
    <w:rsid w:val="000B3189"/>
    <w:rsid w:val="000B515C"/>
    <w:rsid w:val="000B6706"/>
    <w:rsid w:val="000B6CAB"/>
    <w:rsid w:val="000C28AE"/>
    <w:rsid w:val="000C5029"/>
    <w:rsid w:val="000E0444"/>
    <w:rsid w:val="000E0683"/>
    <w:rsid w:val="000E2C39"/>
    <w:rsid w:val="000E7B0A"/>
    <w:rsid w:val="000F1DA2"/>
    <w:rsid w:val="000F2541"/>
    <w:rsid w:val="000F3EEB"/>
    <w:rsid w:val="00100BF1"/>
    <w:rsid w:val="00102560"/>
    <w:rsid w:val="00105E67"/>
    <w:rsid w:val="0011086E"/>
    <w:rsid w:val="00113D24"/>
    <w:rsid w:val="00113E49"/>
    <w:rsid w:val="00117802"/>
    <w:rsid w:val="00117CF4"/>
    <w:rsid w:val="001261D0"/>
    <w:rsid w:val="00127FCC"/>
    <w:rsid w:val="0013396E"/>
    <w:rsid w:val="00137D71"/>
    <w:rsid w:val="0014421D"/>
    <w:rsid w:val="00152530"/>
    <w:rsid w:val="00154255"/>
    <w:rsid w:val="001542BC"/>
    <w:rsid w:val="00154B58"/>
    <w:rsid w:val="00154CC2"/>
    <w:rsid w:val="001606A6"/>
    <w:rsid w:val="00162356"/>
    <w:rsid w:val="00162EB9"/>
    <w:rsid w:val="0016780A"/>
    <w:rsid w:val="001707A4"/>
    <w:rsid w:val="001715DD"/>
    <w:rsid w:val="00173954"/>
    <w:rsid w:val="00175319"/>
    <w:rsid w:val="00183021"/>
    <w:rsid w:val="001835F2"/>
    <w:rsid w:val="00183F79"/>
    <w:rsid w:val="0018471F"/>
    <w:rsid w:val="0018561E"/>
    <w:rsid w:val="001A0905"/>
    <w:rsid w:val="001A264D"/>
    <w:rsid w:val="001A6CFA"/>
    <w:rsid w:val="001B2139"/>
    <w:rsid w:val="001B2A28"/>
    <w:rsid w:val="001B5F70"/>
    <w:rsid w:val="001B60D6"/>
    <w:rsid w:val="001B6238"/>
    <w:rsid w:val="001C17C3"/>
    <w:rsid w:val="001C35D9"/>
    <w:rsid w:val="001C39D4"/>
    <w:rsid w:val="001C704B"/>
    <w:rsid w:val="001D34FB"/>
    <w:rsid w:val="001D6DC5"/>
    <w:rsid w:val="001F03E5"/>
    <w:rsid w:val="001F2297"/>
    <w:rsid w:val="001F6540"/>
    <w:rsid w:val="0020349B"/>
    <w:rsid w:val="0020412D"/>
    <w:rsid w:val="00205BAB"/>
    <w:rsid w:val="00206F13"/>
    <w:rsid w:val="0021029E"/>
    <w:rsid w:val="00211EE2"/>
    <w:rsid w:val="00220DFD"/>
    <w:rsid w:val="00220F74"/>
    <w:rsid w:val="00223894"/>
    <w:rsid w:val="002262EF"/>
    <w:rsid w:val="00230434"/>
    <w:rsid w:val="00232A45"/>
    <w:rsid w:val="0023334C"/>
    <w:rsid w:val="00233ED0"/>
    <w:rsid w:val="00243364"/>
    <w:rsid w:val="002472D8"/>
    <w:rsid w:val="00247D9F"/>
    <w:rsid w:val="00247E02"/>
    <w:rsid w:val="002515DE"/>
    <w:rsid w:val="00255161"/>
    <w:rsid w:val="00255328"/>
    <w:rsid w:val="00257CEB"/>
    <w:rsid w:val="00260576"/>
    <w:rsid w:val="00261235"/>
    <w:rsid w:val="00262623"/>
    <w:rsid w:val="00263DDD"/>
    <w:rsid w:val="00266702"/>
    <w:rsid w:val="00270123"/>
    <w:rsid w:val="00272258"/>
    <w:rsid w:val="002732EE"/>
    <w:rsid w:val="0027586E"/>
    <w:rsid w:val="002769AD"/>
    <w:rsid w:val="002838CD"/>
    <w:rsid w:val="002852A6"/>
    <w:rsid w:val="0028559A"/>
    <w:rsid w:val="0029089C"/>
    <w:rsid w:val="00296289"/>
    <w:rsid w:val="002A26D7"/>
    <w:rsid w:val="002A2AEB"/>
    <w:rsid w:val="002A4029"/>
    <w:rsid w:val="002A5993"/>
    <w:rsid w:val="002B0D47"/>
    <w:rsid w:val="002B108F"/>
    <w:rsid w:val="002B2D00"/>
    <w:rsid w:val="002B32EE"/>
    <w:rsid w:val="002B4381"/>
    <w:rsid w:val="002C0851"/>
    <w:rsid w:val="002C1FC6"/>
    <w:rsid w:val="002D0351"/>
    <w:rsid w:val="002D28CB"/>
    <w:rsid w:val="002D7470"/>
    <w:rsid w:val="002E235B"/>
    <w:rsid w:val="002E35E0"/>
    <w:rsid w:val="002E36BA"/>
    <w:rsid w:val="002E64FF"/>
    <w:rsid w:val="002F3A6B"/>
    <w:rsid w:val="002F7C64"/>
    <w:rsid w:val="0030194A"/>
    <w:rsid w:val="00307129"/>
    <w:rsid w:val="00313F48"/>
    <w:rsid w:val="00321135"/>
    <w:rsid w:val="0032332E"/>
    <w:rsid w:val="0033463F"/>
    <w:rsid w:val="00334D85"/>
    <w:rsid w:val="0034505D"/>
    <w:rsid w:val="00353D81"/>
    <w:rsid w:val="00354AE0"/>
    <w:rsid w:val="0036076B"/>
    <w:rsid w:val="0036148A"/>
    <w:rsid w:val="0036315E"/>
    <w:rsid w:val="00376DAC"/>
    <w:rsid w:val="00382455"/>
    <w:rsid w:val="0038740D"/>
    <w:rsid w:val="00395BBF"/>
    <w:rsid w:val="003965BB"/>
    <w:rsid w:val="00397548"/>
    <w:rsid w:val="00397B45"/>
    <w:rsid w:val="00397D35"/>
    <w:rsid w:val="003A18E7"/>
    <w:rsid w:val="003A6030"/>
    <w:rsid w:val="003B211F"/>
    <w:rsid w:val="003B26A5"/>
    <w:rsid w:val="003B2FBA"/>
    <w:rsid w:val="003B3469"/>
    <w:rsid w:val="003B64F2"/>
    <w:rsid w:val="003C046D"/>
    <w:rsid w:val="003C297D"/>
    <w:rsid w:val="003C2BAE"/>
    <w:rsid w:val="003C4C23"/>
    <w:rsid w:val="003D003A"/>
    <w:rsid w:val="003D0FED"/>
    <w:rsid w:val="003D1598"/>
    <w:rsid w:val="003D5B8C"/>
    <w:rsid w:val="003D69DE"/>
    <w:rsid w:val="003E0EA2"/>
    <w:rsid w:val="003E391E"/>
    <w:rsid w:val="003E6087"/>
    <w:rsid w:val="003F040E"/>
    <w:rsid w:val="003F0590"/>
    <w:rsid w:val="003F402C"/>
    <w:rsid w:val="003F4C68"/>
    <w:rsid w:val="004031FC"/>
    <w:rsid w:val="004038CB"/>
    <w:rsid w:val="00403F96"/>
    <w:rsid w:val="00405924"/>
    <w:rsid w:val="00410998"/>
    <w:rsid w:val="00412524"/>
    <w:rsid w:val="00417B7A"/>
    <w:rsid w:val="00421589"/>
    <w:rsid w:val="004240A6"/>
    <w:rsid w:val="004251AC"/>
    <w:rsid w:val="0042574E"/>
    <w:rsid w:val="00425B54"/>
    <w:rsid w:val="004305B8"/>
    <w:rsid w:val="004312D9"/>
    <w:rsid w:val="004313DA"/>
    <w:rsid w:val="004331E5"/>
    <w:rsid w:val="004408BD"/>
    <w:rsid w:val="004433D7"/>
    <w:rsid w:val="00445ECB"/>
    <w:rsid w:val="00446C87"/>
    <w:rsid w:val="0045050A"/>
    <w:rsid w:val="004562FC"/>
    <w:rsid w:val="004610B9"/>
    <w:rsid w:val="00462820"/>
    <w:rsid w:val="004639DA"/>
    <w:rsid w:val="00475DE6"/>
    <w:rsid w:val="0048280D"/>
    <w:rsid w:val="00484B73"/>
    <w:rsid w:val="004876D8"/>
    <w:rsid w:val="004905E3"/>
    <w:rsid w:val="00493C1A"/>
    <w:rsid w:val="004A6065"/>
    <w:rsid w:val="004A7C83"/>
    <w:rsid w:val="004B27DA"/>
    <w:rsid w:val="004B494B"/>
    <w:rsid w:val="004B5963"/>
    <w:rsid w:val="004B612A"/>
    <w:rsid w:val="004C36EA"/>
    <w:rsid w:val="004C3A97"/>
    <w:rsid w:val="004C5389"/>
    <w:rsid w:val="004C5F2D"/>
    <w:rsid w:val="004D6F99"/>
    <w:rsid w:val="004D7BF2"/>
    <w:rsid w:val="004E4A39"/>
    <w:rsid w:val="004E6936"/>
    <w:rsid w:val="004E79AE"/>
    <w:rsid w:val="004F6193"/>
    <w:rsid w:val="00501B5A"/>
    <w:rsid w:val="00501F66"/>
    <w:rsid w:val="00502920"/>
    <w:rsid w:val="005043A9"/>
    <w:rsid w:val="00505D3E"/>
    <w:rsid w:val="00514111"/>
    <w:rsid w:val="00516FF3"/>
    <w:rsid w:val="00517A06"/>
    <w:rsid w:val="00524C00"/>
    <w:rsid w:val="005250CD"/>
    <w:rsid w:val="00525E3C"/>
    <w:rsid w:val="005325B9"/>
    <w:rsid w:val="00533668"/>
    <w:rsid w:val="0053413A"/>
    <w:rsid w:val="0053718D"/>
    <w:rsid w:val="00540B16"/>
    <w:rsid w:val="005476AA"/>
    <w:rsid w:val="005535EC"/>
    <w:rsid w:val="00554A4A"/>
    <w:rsid w:val="00557C35"/>
    <w:rsid w:val="00557EB0"/>
    <w:rsid w:val="00564ABE"/>
    <w:rsid w:val="005651F5"/>
    <w:rsid w:val="00567196"/>
    <w:rsid w:val="0056722D"/>
    <w:rsid w:val="0057041E"/>
    <w:rsid w:val="00572E29"/>
    <w:rsid w:val="0057588D"/>
    <w:rsid w:val="00577BE3"/>
    <w:rsid w:val="00581CE4"/>
    <w:rsid w:val="0058266F"/>
    <w:rsid w:val="00584BA9"/>
    <w:rsid w:val="00585983"/>
    <w:rsid w:val="00590063"/>
    <w:rsid w:val="00590102"/>
    <w:rsid w:val="00595465"/>
    <w:rsid w:val="005A0330"/>
    <w:rsid w:val="005A70BC"/>
    <w:rsid w:val="005B04BD"/>
    <w:rsid w:val="005B1846"/>
    <w:rsid w:val="005B381C"/>
    <w:rsid w:val="005C1D86"/>
    <w:rsid w:val="005C4BAC"/>
    <w:rsid w:val="005D18A3"/>
    <w:rsid w:val="005D1E37"/>
    <w:rsid w:val="005D2357"/>
    <w:rsid w:val="005D34EF"/>
    <w:rsid w:val="005D5356"/>
    <w:rsid w:val="005D6F81"/>
    <w:rsid w:val="005E37DA"/>
    <w:rsid w:val="005E5076"/>
    <w:rsid w:val="005E5E00"/>
    <w:rsid w:val="005E65FF"/>
    <w:rsid w:val="005F1F7D"/>
    <w:rsid w:val="005F30D4"/>
    <w:rsid w:val="005F5193"/>
    <w:rsid w:val="005F553B"/>
    <w:rsid w:val="00600C29"/>
    <w:rsid w:val="00606BF0"/>
    <w:rsid w:val="0061254B"/>
    <w:rsid w:val="006157D0"/>
    <w:rsid w:val="00615B21"/>
    <w:rsid w:val="00616AB4"/>
    <w:rsid w:val="00617E83"/>
    <w:rsid w:val="00620BA4"/>
    <w:rsid w:val="0062548C"/>
    <w:rsid w:val="00625AF8"/>
    <w:rsid w:val="00625BFE"/>
    <w:rsid w:val="006273B5"/>
    <w:rsid w:val="0063053B"/>
    <w:rsid w:val="00634ABE"/>
    <w:rsid w:val="00636487"/>
    <w:rsid w:val="0063667C"/>
    <w:rsid w:val="006409F0"/>
    <w:rsid w:val="00641390"/>
    <w:rsid w:val="00641C27"/>
    <w:rsid w:val="0064456A"/>
    <w:rsid w:val="00650E91"/>
    <w:rsid w:val="00663C05"/>
    <w:rsid w:val="00667F4B"/>
    <w:rsid w:val="00670316"/>
    <w:rsid w:val="00670D69"/>
    <w:rsid w:val="00673A91"/>
    <w:rsid w:val="00675CEA"/>
    <w:rsid w:val="006813DA"/>
    <w:rsid w:val="00683268"/>
    <w:rsid w:val="006837C2"/>
    <w:rsid w:val="006902F7"/>
    <w:rsid w:val="00694342"/>
    <w:rsid w:val="0069522E"/>
    <w:rsid w:val="00695447"/>
    <w:rsid w:val="00696301"/>
    <w:rsid w:val="00696694"/>
    <w:rsid w:val="0069795F"/>
    <w:rsid w:val="006A1746"/>
    <w:rsid w:val="006A2211"/>
    <w:rsid w:val="006A2662"/>
    <w:rsid w:val="006A2AB8"/>
    <w:rsid w:val="006A59B1"/>
    <w:rsid w:val="006A5DB0"/>
    <w:rsid w:val="006B1977"/>
    <w:rsid w:val="006C1DAC"/>
    <w:rsid w:val="006C1E5C"/>
    <w:rsid w:val="006C283D"/>
    <w:rsid w:val="006C3941"/>
    <w:rsid w:val="006C3BBC"/>
    <w:rsid w:val="006C651D"/>
    <w:rsid w:val="006C69DD"/>
    <w:rsid w:val="006D029E"/>
    <w:rsid w:val="006D5B36"/>
    <w:rsid w:val="006E32C2"/>
    <w:rsid w:val="006E6FEC"/>
    <w:rsid w:val="006F04D3"/>
    <w:rsid w:val="006F27DC"/>
    <w:rsid w:val="006F4E0E"/>
    <w:rsid w:val="006F55E7"/>
    <w:rsid w:val="006F6CB9"/>
    <w:rsid w:val="00704626"/>
    <w:rsid w:val="00710228"/>
    <w:rsid w:val="007103E4"/>
    <w:rsid w:val="007133A9"/>
    <w:rsid w:val="00713E23"/>
    <w:rsid w:val="00722004"/>
    <w:rsid w:val="007273D6"/>
    <w:rsid w:val="00731D60"/>
    <w:rsid w:val="0073309C"/>
    <w:rsid w:val="00740A16"/>
    <w:rsid w:val="00740BA0"/>
    <w:rsid w:val="007445AA"/>
    <w:rsid w:val="00744A54"/>
    <w:rsid w:val="0075117D"/>
    <w:rsid w:val="00751C2E"/>
    <w:rsid w:val="00754132"/>
    <w:rsid w:val="0075430B"/>
    <w:rsid w:val="00754484"/>
    <w:rsid w:val="00754EA2"/>
    <w:rsid w:val="0075685D"/>
    <w:rsid w:val="007623B1"/>
    <w:rsid w:val="007659B8"/>
    <w:rsid w:val="00767067"/>
    <w:rsid w:val="00767700"/>
    <w:rsid w:val="00770367"/>
    <w:rsid w:val="00781D1D"/>
    <w:rsid w:val="00782269"/>
    <w:rsid w:val="007839C5"/>
    <w:rsid w:val="00786837"/>
    <w:rsid w:val="00794E04"/>
    <w:rsid w:val="007A0DF6"/>
    <w:rsid w:val="007A0F5E"/>
    <w:rsid w:val="007A7132"/>
    <w:rsid w:val="007B7C4B"/>
    <w:rsid w:val="007C4804"/>
    <w:rsid w:val="007C5D96"/>
    <w:rsid w:val="007C7962"/>
    <w:rsid w:val="007D2807"/>
    <w:rsid w:val="007D32A5"/>
    <w:rsid w:val="007D351F"/>
    <w:rsid w:val="007E3EBA"/>
    <w:rsid w:val="007E547F"/>
    <w:rsid w:val="007E7050"/>
    <w:rsid w:val="007F4E88"/>
    <w:rsid w:val="007F7E12"/>
    <w:rsid w:val="00800CC8"/>
    <w:rsid w:val="008030B3"/>
    <w:rsid w:val="00804965"/>
    <w:rsid w:val="00806130"/>
    <w:rsid w:val="00810038"/>
    <w:rsid w:val="00812217"/>
    <w:rsid w:val="00813007"/>
    <w:rsid w:val="00814C06"/>
    <w:rsid w:val="008200DB"/>
    <w:rsid w:val="00821339"/>
    <w:rsid w:val="00827CA2"/>
    <w:rsid w:val="00831889"/>
    <w:rsid w:val="0084380A"/>
    <w:rsid w:val="0084620A"/>
    <w:rsid w:val="00846C46"/>
    <w:rsid w:val="00850543"/>
    <w:rsid w:val="008505B7"/>
    <w:rsid w:val="008544DE"/>
    <w:rsid w:val="00855EE6"/>
    <w:rsid w:val="00857613"/>
    <w:rsid w:val="00862E98"/>
    <w:rsid w:val="00864697"/>
    <w:rsid w:val="00870B46"/>
    <w:rsid w:val="008738E1"/>
    <w:rsid w:val="008761E3"/>
    <w:rsid w:val="00880D41"/>
    <w:rsid w:val="008824B3"/>
    <w:rsid w:val="00885A3B"/>
    <w:rsid w:val="0088699E"/>
    <w:rsid w:val="00887598"/>
    <w:rsid w:val="00894615"/>
    <w:rsid w:val="00896C0C"/>
    <w:rsid w:val="00896F25"/>
    <w:rsid w:val="00896FEA"/>
    <w:rsid w:val="008A6538"/>
    <w:rsid w:val="008C5DEA"/>
    <w:rsid w:val="008C6362"/>
    <w:rsid w:val="008C662B"/>
    <w:rsid w:val="008D29C4"/>
    <w:rsid w:val="008E0E71"/>
    <w:rsid w:val="008E26BD"/>
    <w:rsid w:val="008E3766"/>
    <w:rsid w:val="008E4480"/>
    <w:rsid w:val="008E4EC0"/>
    <w:rsid w:val="008E6616"/>
    <w:rsid w:val="008E67E6"/>
    <w:rsid w:val="008E73C0"/>
    <w:rsid w:val="008F1A44"/>
    <w:rsid w:val="008F2553"/>
    <w:rsid w:val="008F316A"/>
    <w:rsid w:val="008F60C6"/>
    <w:rsid w:val="008F6D74"/>
    <w:rsid w:val="009003BA"/>
    <w:rsid w:val="009011FA"/>
    <w:rsid w:val="00903229"/>
    <w:rsid w:val="009118F0"/>
    <w:rsid w:val="00912FCE"/>
    <w:rsid w:val="009149B0"/>
    <w:rsid w:val="00920EC4"/>
    <w:rsid w:val="00922BFB"/>
    <w:rsid w:val="00924CD3"/>
    <w:rsid w:val="00925EA2"/>
    <w:rsid w:val="00926525"/>
    <w:rsid w:val="00927C08"/>
    <w:rsid w:val="0093000D"/>
    <w:rsid w:val="009334A9"/>
    <w:rsid w:val="0093395C"/>
    <w:rsid w:val="0093451C"/>
    <w:rsid w:val="00934E56"/>
    <w:rsid w:val="00935089"/>
    <w:rsid w:val="00936BCF"/>
    <w:rsid w:val="0094192E"/>
    <w:rsid w:val="00946551"/>
    <w:rsid w:val="00954B39"/>
    <w:rsid w:val="00955947"/>
    <w:rsid w:val="00957A44"/>
    <w:rsid w:val="00962EB4"/>
    <w:rsid w:val="00964F99"/>
    <w:rsid w:val="0096550B"/>
    <w:rsid w:val="0097150F"/>
    <w:rsid w:val="0097182E"/>
    <w:rsid w:val="0097417C"/>
    <w:rsid w:val="009878E4"/>
    <w:rsid w:val="00993FC1"/>
    <w:rsid w:val="0099426D"/>
    <w:rsid w:val="00994615"/>
    <w:rsid w:val="009A4BD1"/>
    <w:rsid w:val="009A59A5"/>
    <w:rsid w:val="009B06FC"/>
    <w:rsid w:val="009B11F8"/>
    <w:rsid w:val="009B139B"/>
    <w:rsid w:val="009B1E0D"/>
    <w:rsid w:val="009B7388"/>
    <w:rsid w:val="009C0811"/>
    <w:rsid w:val="009C14DD"/>
    <w:rsid w:val="009C3AE7"/>
    <w:rsid w:val="009D0691"/>
    <w:rsid w:val="009D1A9A"/>
    <w:rsid w:val="009D1D96"/>
    <w:rsid w:val="009D4151"/>
    <w:rsid w:val="009E3953"/>
    <w:rsid w:val="009E3C33"/>
    <w:rsid w:val="009E5977"/>
    <w:rsid w:val="009E602B"/>
    <w:rsid w:val="009E733D"/>
    <w:rsid w:val="009F2ADD"/>
    <w:rsid w:val="009F3C36"/>
    <w:rsid w:val="009F61C6"/>
    <w:rsid w:val="009F64FA"/>
    <w:rsid w:val="009F7505"/>
    <w:rsid w:val="009F7A44"/>
    <w:rsid w:val="00A0411B"/>
    <w:rsid w:val="00A05953"/>
    <w:rsid w:val="00A12C5A"/>
    <w:rsid w:val="00A12F17"/>
    <w:rsid w:val="00A13B6C"/>
    <w:rsid w:val="00A17FC8"/>
    <w:rsid w:val="00A21715"/>
    <w:rsid w:val="00A22C15"/>
    <w:rsid w:val="00A25A39"/>
    <w:rsid w:val="00A36AFA"/>
    <w:rsid w:val="00A3725C"/>
    <w:rsid w:val="00A41190"/>
    <w:rsid w:val="00A41B6D"/>
    <w:rsid w:val="00A4470A"/>
    <w:rsid w:val="00A55F42"/>
    <w:rsid w:val="00A5676B"/>
    <w:rsid w:val="00A57361"/>
    <w:rsid w:val="00A57452"/>
    <w:rsid w:val="00A65558"/>
    <w:rsid w:val="00A6575F"/>
    <w:rsid w:val="00A660BE"/>
    <w:rsid w:val="00A67792"/>
    <w:rsid w:val="00A701BC"/>
    <w:rsid w:val="00A71060"/>
    <w:rsid w:val="00A73C2A"/>
    <w:rsid w:val="00A81168"/>
    <w:rsid w:val="00A8332D"/>
    <w:rsid w:val="00A904A0"/>
    <w:rsid w:val="00A90710"/>
    <w:rsid w:val="00A9110D"/>
    <w:rsid w:val="00A91575"/>
    <w:rsid w:val="00A9370D"/>
    <w:rsid w:val="00AA2F39"/>
    <w:rsid w:val="00AA376A"/>
    <w:rsid w:val="00AA3DBE"/>
    <w:rsid w:val="00AA4A81"/>
    <w:rsid w:val="00AA500A"/>
    <w:rsid w:val="00AB3630"/>
    <w:rsid w:val="00AC1D47"/>
    <w:rsid w:val="00AC2427"/>
    <w:rsid w:val="00AC5DFD"/>
    <w:rsid w:val="00AC6B7B"/>
    <w:rsid w:val="00AC6C06"/>
    <w:rsid w:val="00AD2FD3"/>
    <w:rsid w:val="00AE079F"/>
    <w:rsid w:val="00AE0DC9"/>
    <w:rsid w:val="00AE557B"/>
    <w:rsid w:val="00AF2AD1"/>
    <w:rsid w:val="00AF39DE"/>
    <w:rsid w:val="00AF51BA"/>
    <w:rsid w:val="00B00611"/>
    <w:rsid w:val="00B01AA2"/>
    <w:rsid w:val="00B0286E"/>
    <w:rsid w:val="00B05BDB"/>
    <w:rsid w:val="00B13984"/>
    <w:rsid w:val="00B154FE"/>
    <w:rsid w:val="00B1765A"/>
    <w:rsid w:val="00B179CB"/>
    <w:rsid w:val="00B23734"/>
    <w:rsid w:val="00B24565"/>
    <w:rsid w:val="00B2502C"/>
    <w:rsid w:val="00B40038"/>
    <w:rsid w:val="00B40BF6"/>
    <w:rsid w:val="00B5078C"/>
    <w:rsid w:val="00B519E8"/>
    <w:rsid w:val="00B52A9E"/>
    <w:rsid w:val="00B54720"/>
    <w:rsid w:val="00B62A03"/>
    <w:rsid w:val="00B65B85"/>
    <w:rsid w:val="00B67378"/>
    <w:rsid w:val="00B70336"/>
    <w:rsid w:val="00B736F2"/>
    <w:rsid w:val="00B73927"/>
    <w:rsid w:val="00B74464"/>
    <w:rsid w:val="00B7506B"/>
    <w:rsid w:val="00B8310A"/>
    <w:rsid w:val="00B83B27"/>
    <w:rsid w:val="00B87579"/>
    <w:rsid w:val="00B93923"/>
    <w:rsid w:val="00B953CA"/>
    <w:rsid w:val="00B97138"/>
    <w:rsid w:val="00B97173"/>
    <w:rsid w:val="00B9755D"/>
    <w:rsid w:val="00BA01BD"/>
    <w:rsid w:val="00BA485A"/>
    <w:rsid w:val="00BB0EA0"/>
    <w:rsid w:val="00BB176F"/>
    <w:rsid w:val="00BB1AC4"/>
    <w:rsid w:val="00BB2C25"/>
    <w:rsid w:val="00BB580E"/>
    <w:rsid w:val="00BB5BE5"/>
    <w:rsid w:val="00BC0E71"/>
    <w:rsid w:val="00BC340F"/>
    <w:rsid w:val="00BD1383"/>
    <w:rsid w:val="00BD3B03"/>
    <w:rsid w:val="00BD43A0"/>
    <w:rsid w:val="00BD49F1"/>
    <w:rsid w:val="00BD562E"/>
    <w:rsid w:val="00BE203F"/>
    <w:rsid w:val="00BE3F65"/>
    <w:rsid w:val="00BE41EA"/>
    <w:rsid w:val="00BE78DA"/>
    <w:rsid w:val="00BF3A98"/>
    <w:rsid w:val="00C03FC3"/>
    <w:rsid w:val="00C041DD"/>
    <w:rsid w:val="00C07F91"/>
    <w:rsid w:val="00C107AE"/>
    <w:rsid w:val="00C12BDD"/>
    <w:rsid w:val="00C15F61"/>
    <w:rsid w:val="00C20670"/>
    <w:rsid w:val="00C21FE6"/>
    <w:rsid w:val="00C27D13"/>
    <w:rsid w:val="00C27D30"/>
    <w:rsid w:val="00C30121"/>
    <w:rsid w:val="00C307EB"/>
    <w:rsid w:val="00C34AA0"/>
    <w:rsid w:val="00C3632B"/>
    <w:rsid w:val="00C36AB0"/>
    <w:rsid w:val="00C41EC7"/>
    <w:rsid w:val="00C42FDD"/>
    <w:rsid w:val="00C43745"/>
    <w:rsid w:val="00C46328"/>
    <w:rsid w:val="00C5249F"/>
    <w:rsid w:val="00C614E0"/>
    <w:rsid w:val="00C66E52"/>
    <w:rsid w:val="00C70CD2"/>
    <w:rsid w:val="00C71A25"/>
    <w:rsid w:val="00C725B2"/>
    <w:rsid w:val="00C75D23"/>
    <w:rsid w:val="00C76AD5"/>
    <w:rsid w:val="00C7734C"/>
    <w:rsid w:val="00C80EF8"/>
    <w:rsid w:val="00C825C2"/>
    <w:rsid w:val="00C845E7"/>
    <w:rsid w:val="00C87A69"/>
    <w:rsid w:val="00C906D8"/>
    <w:rsid w:val="00C916F1"/>
    <w:rsid w:val="00CA3CC7"/>
    <w:rsid w:val="00CA4CD1"/>
    <w:rsid w:val="00CA6475"/>
    <w:rsid w:val="00CA7A24"/>
    <w:rsid w:val="00CB0FA4"/>
    <w:rsid w:val="00CB2280"/>
    <w:rsid w:val="00CB401C"/>
    <w:rsid w:val="00CC1DB2"/>
    <w:rsid w:val="00CC3B9B"/>
    <w:rsid w:val="00CC5036"/>
    <w:rsid w:val="00CC5A00"/>
    <w:rsid w:val="00CC6B2D"/>
    <w:rsid w:val="00CD0E44"/>
    <w:rsid w:val="00CD585B"/>
    <w:rsid w:val="00CE0AFE"/>
    <w:rsid w:val="00CE40EC"/>
    <w:rsid w:val="00CE47B3"/>
    <w:rsid w:val="00CF0CE4"/>
    <w:rsid w:val="00CF1F53"/>
    <w:rsid w:val="00D01B84"/>
    <w:rsid w:val="00D02B64"/>
    <w:rsid w:val="00D03210"/>
    <w:rsid w:val="00D03C9B"/>
    <w:rsid w:val="00D04A05"/>
    <w:rsid w:val="00D0510F"/>
    <w:rsid w:val="00D05701"/>
    <w:rsid w:val="00D05AE9"/>
    <w:rsid w:val="00D0661C"/>
    <w:rsid w:val="00D163A2"/>
    <w:rsid w:val="00D217A9"/>
    <w:rsid w:val="00D25F0F"/>
    <w:rsid w:val="00D31220"/>
    <w:rsid w:val="00D322A8"/>
    <w:rsid w:val="00D450A5"/>
    <w:rsid w:val="00D45A38"/>
    <w:rsid w:val="00D5173A"/>
    <w:rsid w:val="00D52C2E"/>
    <w:rsid w:val="00D533B3"/>
    <w:rsid w:val="00D5488A"/>
    <w:rsid w:val="00D57BAB"/>
    <w:rsid w:val="00D604C3"/>
    <w:rsid w:val="00D6051B"/>
    <w:rsid w:val="00D64AC1"/>
    <w:rsid w:val="00D66E5D"/>
    <w:rsid w:val="00D71F4F"/>
    <w:rsid w:val="00D75395"/>
    <w:rsid w:val="00D753E1"/>
    <w:rsid w:val="00D82E27"/>
    <w:rsid w:val="00D83F44"/>
    <w:rsid w:val="00D87F73"/>
    <w:rsid w:val="00D913C1"/>
    <w:rsid w:val="00D915B7"/>
    <w:rsid w:val="00D953E2"/>
    <w:rsid w:val="00D95B10"/>
    <w:rsid w:val="00DA331E"/>
    <w:rsid w:val="00DA37EE"/>
    <w:rsid w:val="00DA3BCE"/>
    <w:rsid w:val="00DA7C46"/>
    <w:rsid w:val="00DB1110"/>
    <w:rsid w:val="00DC0FBF"/>
    <w:rsid w:val="00DC7656"/>
    <w:rsid w:val="00DD0B65"/>
    <w:rsid w:val="00DE05EC"/>
    <w:rsid w:val="00DE1651"/>
    <w:rsid w:val="00DE2B33"/>
    <w:rsid w:val="00DE3069"/>
    <w:rsid w:val="00DE7D57"/>
    <w:rsid w:val="00DF2F84"/>
    <w:rsid w:val="00DF31B3"/>
    <w:rsid w:val="00DF7096"/>
    <w:rsid w:val="00E03ED8"/>
    <w:rsid w:val="00E05556"/>
    <w:rsid w:val="00E05EDF"/>
    <w:rsid w:val="00E122C6"/>
    <w:rsid w:val="00E12987"/>
    <w:rsid w:val="00E1401D"/>
    <w:rsid w:val="00E14218"/>
    <w:rsid w:val="00E16D0A"/>
    <w:rsid w:val="00E24B2D"/>
    <w:rsid w:val="00E30FD3"/>
    <w:rsid w:val="00E328CD"/>
    <w:rsid w:val="00E3711E"/>
    <w:rsid w:val="00E444D7"/>
    <w:rsid w:val="00E50064"/>
    <w:rsid w:val="00E52789"/>
    <w:rsid w:val="00E533C1"/>
    <w:rsid w:val="00E554C3"/>
    <w:rsid w:val="00E5652B"/>
    <w:rsid w:val="00E60B6A"/>
    <w:rsid w:val="00E624AC"/>
    <w:rsid w:val="00E63707"/>
    <w:rsid w:val="00E64807"/>
    <w:rsid w:val="00E6569A"/>
    <w:rsid w:val="00E66700"/>
    <w:rsid w:val="00E67EBE"/>
    <w:rsid w:val="00E70F57"/>
    <w:rsid w:val="00E77E25"/>
    <w:rsid w:val="00E8008E"/>
    <w:rsid w:val="00E801C6"/>
    <w:rsid w:val="00E825F0"/>
    <w:rsid w:val="00E836AD"/>
    <w:rsid w:val="00E836BC"/>
    <w:rsid w:val="00E84620"/>
    <w:rsid w:val="00E85861"/>
    <w:rsid w:val="00E86FFE"/>
    <w:rsid w:val="00E87265"/>
    <w:rsid w:val="00E95D96"/>
    <w:rsid w:val="00EA07A7"/>
    <w:rsid w:val="00EA18F8"/>
    <w:rsid w:val="00EA26AF"/>
    <w:rsid w:val="00EB0CE5"/>
    <w:rsid w:val="00EB1CD8"/>
    <w:rsid w:val="00EB2BC1"/>
    <w:rsid w:val="00EB3B11"/>
    <w:rsid w:val="00EB7A4F"/>
    <w:rsid w:val="00EC3A39"/>
    <w:rsid w:val="00EC54CE"/>
    <w:rsid w:val="00EC740B"/>
    <w:rsid w:val="00EE0F16"/>
    <w:rsid w:val="00EE1C6F"/>
    <w:rsid w:val="00EE7C71"/>
    <w:rsid w:val="00EF06AB"/>
    <w:rsid w:val="00EF1602"/>
    <w:rsid w:val="00EF16C5"/>
    <w:rsid w:val="00EF78AE"/>
    <w:rsid w:val="00F00F5B"/>
    <w:rsid w:val="00F01E7B"/>
    <w:rsid w:val="00F03BDD"/>
    <w:rsid w:val="00F052CE"/>
    <w:rsid w:val="00F0627D"/>
    <w:rsid w:val="00F11270"/>
    <w:rsid w:val="00F118B1"/>
    <w:rsid w:val="00F145D2"/>
    <w:rsid w:val="00F15523"/>
    <w:rsid w:val="00F16DBC"/>
    <w:rsid w:val="00F2096A"/>
    <w:rsid w:val="00F20F75"/>
    <w:rsid w:val="00F21173"/>
    <w:rsid w:val="00F2398E"/>
    <w:rsid w:val="00F26D54"/>
    <w:rsid w:val="00F329C7"/>
    <w:rsid w:val="00F372B1"/>
    <w:rsid w:val="00F41511"/>
    <w:rsid w:val="00F5043B"/>
    <w:rsid w:val="00F5413B"/>
    <w:rsid w:val="00F55A3D"/>
    <w:rsid w:val="00F67FA8"/>
    <w:rsid w:val="00F7198A"/>
    <w:rsid w:val="00F72019"/>
    <w:rsid w:val="00F73BBC"/>
    <w:rsid w:val="00F77894"/>
    <w:rsid w:val="00F87111"/>
    <w:rsid w:val="00F87A91"/>
    <w:rsid w:val="00F91BF9"/>
    <w:rsid w:val="00F9685F"/>
    <w:rsid w:val="00FA5781"/>
    <w:rsid w:val="00FA59E3"/>
    <w:rsid w:val="00FA7579"/>
    <w:rsid w:val="00FB4182"/>
    <w:rsid w:val="00FB5384"/>
    <w:rsid w:val="00FC0482"/>
    <w:rsid w:val="00FC3045"/>
    <w:rsid w:val="00FC3433"/>
    <w:rsid w:val="00FC3688"/>
    <w:rsid w:val="00FC4A0C"/>
    <w:rsid w:val="00FC530B"/>
    <w:rsid w:val="00FD059D"/>
    <w:rsid w:val="00FD17C4"/>
    <w:rsid w:val="00FD4EA4"/>
    <w:rsid w:val="00FE3C88"/>
    <w:rsid w:val="00FE67AF"/>
    <w:rsid w:val="00FE6B1D"/>
    <w:rsid w:val="00FE721F"/>
    <w:rsid w:val="00FF1235"/>
    <w:rsid w:val="00FF2E26"/>
    <w:rsid w:val="00FF59F8"/>
    <w:rsid w:val="00FF6093"/>
    <w:rsid w:val="02633A52"/>
    <w:rsid w:val="08870D0B"/>
    <w:rsid w:val="08F66DC1"/>
    <w:rsid w:val="0D0D5E3C"/>
    <w:rsid w:val="0E4449F4"/>
    <w:rsid w:val="0F183AD3"/>
    <w:rsid w:val="0F251AE4"/>
    <w:rsid w:val="0FCA38F7"/>
    <w:rsid w:val="10F3685C"/>
    <w:rsid w:val="12B77674"/>
    <w:rsid w:val="136C01EA"/>
    <w:rsid w:val="13C156F5"/>
    <w:rsid w:val="188E1AD6"/>
    <w:rsid w:val="1B8B656A"/>
    <w:rsid w:val="21380790"/>
    <w:rsid w:val="217B46FD"/>
    <w:rsid w:val="2B611ABA"/>
    <w:rsid w:val="2FC254E7"/>
    <w:rsid w:val="314743E9"/>
    <w:rsid w:val="3198766B"/>
    <w:rsid w:val="3204479C"/>
    <w:rsid w:val="35216C38"/>
    <w:rsid w:val="364B42AF"/>
    <w:rsid w:val="37CD1D19"/>
    <w:rsid w:val="4828256E"/>
    <w:rsid w:val="4ABC5DAA"/>
    <w:rsid w:val="4ACE7349"/>
    <w:rsid w:val="4AF948D9"/>
    <w:rsid w:val="51E754ED"/>
    <w:rsid w:val="525865A5"/>
    <w:rsid w:val="592842AE"/>
    <w:rsid w:val="59A1101C"/>
    <w:rsid w:val="5C183C23"/>
    <w:rsid w:val="62DA51FE"/>
    <w:rsid w:val="647E786B"/>
    <w:rsid w:val="652A1008"/>
    <w:rsid w:val="665A717C"/>
    <w:rsid w:val="6AB91C24"/>
    <w:rsid w:val="6F6822D7"/>
    <w:rsid w:val="71943B66"/>
    <w:rsid w:val="76043135"/>
    <w:rsid w:val="7CBF7F35"/>
    <w:rsid w:val="7CFA4897"/>
    <w:rsid w:val="7DCF5B74"/>
    <w:rsid w:val="7EE40D86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9"/>
    <w:basedOn w:val="1"/>
    <w:next w:val="1"/>
    <w:link w:val="21"/>
    <w:qFormat/>
    <w:uiPriority w:val="0"/>
    <w:pPr>
      <w:keepNext/>
      <w:keepLines/>
      <w:spacing w:line="360" w:lineRule="auto"/>
      <w:outlineLvl w:val="8"/>
    </w:pPr>
    <w:rPr>
      <w:rFonts w:ascii="Arial" w:hAnsi="Arial"/>
      <w:b/>
      <w:sz w:val="28"/>
      <w:szCs w:val="21"/>
    </w:rPr>
  </w:style>
  <w:style w:type="character" w:default="1" w:styleId="10">
    <w:name w:val="Default Paragraph Font"/>
    <w:unhideWhenUsed/>
    <w:uiPriority w:val="1"/>
  </w:style>
  <w:style w:type="table" w:default="1" w:styleId="14">
    <w:name w:val="Normal Table"/>
    <w:unhideWhenUsed/>
    <w:qFormat/>
    <w:uiPriority w:val="99"/>
    <w:tblPr>
      <w:tblStyle w:val="14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Document Map"/>
    <w:basedOn w:val="1"/>
    <w:link w:val="23"/>
    <w:uiPriority w:val="0"/>
    <w:rPr>
      <w:rFonts w:ascii="宋体"/>
      <w:sz w:val="18"/>
      <w:szCs w:val="18"/>
    </w:rPr>
  </w:style>
  <w:style w:type="paragraph" w:styleId="4">
    <w:name w:val="annotation text"/>
    <w:basedOn w:val="1"/>
    <w:link w:val="22"/>
    <w:uiPriority w:val="0"/>
    <w:pPr>
      <w:jc w:val="left"/>
    </w:pPr>
    <w:rPr>
      <w:rFonts w:eastAsia="Times New Roman"/>
    </w:rPr>
  </w:style>
  <w:style w:type="paragraph" w:styleId="5">
    <w:name w:val="Date"/>
    <w:basedOn w:val="1"/>
    <w:next w:val="1"/>
    <w:uiPriority w:val="0"/>
    <w:pPr>
      <w:ind w:left="100" w:leftChars="2500"/>
    </w:pPr>
  </w:style>
  <w:style w:type="paragraph" w:styleId="6">
    <w:name w:val="Balloon Text"/>
    <w:basedOn w:val="1"/>
    <w:uiPriority w:val="0"/>
    <w:rPr>
      <w:sz w:val="18"/>
      <w:szCs w:val="18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iPriority w:val="39"/>
    <w:pPr>
      <w:widowControl/>
      <w:spacing w:after="100" w:line="276" w:lineRule="auto"/>
      <w:jc w:val="left"/>
    </w:pPr>
    <w:rPr>
      <w:rFonts w:ascii="Calibri" w:hAnsi="Calibri" w:cs="Calibri"/>
      <w:kern w:val="0"/>
      <w:sz w:val="22"/>
      <w:szCs w:val="22"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page number"/>
    <w:basedOn w:val="10"/>
    <w:uiPriority w:val="0"/>
    <w:rPr/>
  </w:style>
  <w:style w:type="character" w:styleId="13">
    <w:name w:val="Emphasis"/>
    <w:basedOn w:val="10"/>
    <w:qFormat/>
    <w:uiPriority w:val="0"/>
    <w:rPr>
      <w:i/>
    </w:rPr>
  </w:style>
  <w:style w:type="table" w:styleId="15">
    <w:name w:val="Table Grid"/>
    <w:basedOn w:val="14"/>
    <w:uiPriority w:val="0"/>
    <w:pPr>
      <w:widowControl w:val="0"/>
      <w:jc w:val="both"/>
    </w:pPr>
    <w:tblPr>
      <w:tblStyle w:val="1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16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7">
    <w:name w:val="Default"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8">
    <w:name w:val="条文"/>
    <w:basedOn w:val="1"/>
    <w:uiPriority w:val="0"/>
    <w:pPr>
      <w:adjustRightInd w:val="0"/>
      <w:spacing w:line="300" w:lineRule="auto"/>
      <w:ind w:firstLine="200" w:firstLineChars="200"/>
      <w:outlineLvl w:val="2"/>
    </w:pPr>
    <w:rPr>
      <w:sz w:val="24"/>
    </w:rPr>
  </w:style>
  <w:style w:type="paragraph" w:customStyle="1" w:styleId="19">
    <w:name w:val="列出段落11"/>
    <w:basedOn w:val="1"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20">
    <w:name w:val="页眉 Char"/>
    <w:basedOn w:val="10"/>
    <w:link w:val="8"/>
    <w:uiPriority w:val="0"/>
    <w:rPr>
      <w:kern w:val="2"/>
      <w:sz w:val="18"/>
      <w:szCs w:val="18"/>
    </w:rPr>
  </w:style>
  <w:style w:type="character" w:customStyle="1" w:styleId="21">
    <w:name w:val="标题 9 Char"/>
    <w:basedOn w:val="10"/>
    <w:link w:val="2"/>
    <w:uiPriority w:val="0"/>
    <w:rPr>
      <w:rFonts w:ascii="Arial" w:hAnsi="Arial" w:eastAsia="宋体"/>
      <w:b/>
      <w:kern w:val="2"/>
      <w:sz w:val="28"/>
      <w:szCs w:val="21"/>
      <w:lang w:val="en-US" w:eastAsia="zh-CN" w:bidi="ar-SA"/>
    </w:rPr>
  </w:style>
  <w:style w:type="character" w:customStyle="1" w:styleId="22">
    <w:name w:val="批注文字 Char"/>
    <w:basedOn w:val="10"/>
    <w:link w:val="4"/>
    <w:uiPriority w:val="0"/>
    <w:rPr>
      <w:kern w:val="2"/>
      <w:sz w:val="21"/>
      <w:szCs w:val="24"/>
      <w:lang w:bidi="ar-SA"/>
    </w:rPr>
  </w:style>
  <w:style w:type="character" w:customStyle="1" w:styleId="23">
    <w:name w:val="文档结构图 Char"/>
    <w:basedOn w:val="10"/>
    <w:link w:val="3"/>
    <w:uiPriority w:val="0"/>
    <w:rPr>
      <w:rFonts w:ascii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5</Pages>
  <Words>458</Words>
  <Characters>2616</Characters>
  <Lines>21</Lines>
  <Paragraphs>6</Paragraphs>
  <ScaleCrop>false</ScaleCrop>
  <LinksUpToDate>false</LinksUpToDate>
  <CharactersWithSpaces>0</CharactersWithSpaces>
  <Application>WPS Office 个人版_9.1.0.4985_{F1E327BC-269C-435d-A152-05C5408002CA}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2015-03-10T07:28:00Z</dcterms:created>
  <dc:creator>LENOVO USER</dc:creator>
  <cp:lastModifiedBy>DK</cp:lastModifiedBy>
  <dcterms:modified xsi:type="dcterms:W3CDTF">2015-04-03T06:48:18Z</dcterms:modified>
  <dc:title>江苏省民用建筑工程施工图设计文件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2052-9.1.0.4985</vt:lpwstr>
  </property>
</Properties>
</file>