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tiff" ContentType="image/tiff"/>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黑体" w:hAnsi="黑体" w:eastAsia="黑体" w:cs="黑体"/>
          <w:spacing w:val="-20"/>
          <w:sz w:val="36"/>
          <w:szCs w:val="36"/>
        </w:rPr>
      </w:pPr>
    </w:p>
    <w:p>
      <w:pPr>
        <w:spacing w:line="560" w:lineRule="exact"/>
        <w:jc w:val="center"/>
        <w:rPr>
          <w:rFonts w:ascii="黑体" w:hAnsi="黑体" w:eastAsia="黑体" w:cs="黑体"/>
          <w:spacing w:val="-20"/>
          <w:sz w:val="36"/>
          <w:szCs w:val="36"/>
        </w:rPr>
      </w:pPr>
      <w:r>
        <w:rPr>
          <w:rFonts w:ascii="宋体" w:hAnsi="宋体" w:eastAsia="宋体" w:cs="宋体"/>
          <w:kern w:val="0"/>
          <w:sz w:val="24"/>
          <w:szCs w:val="24"/>
          <w:lang w:val="en-US" w:eastAsia="zh-CN" w:bidi="ar"/>
        </w:rPr>
        <w:drawing>
          <wp:anchor distT="0" distB="0" distL="114300" distR="114300" simplePos="0" relativeHeight="251658240" behindDoc="0" locked="0" layoutInCell="1" allowOverlap="1">
            <wp:simplePos x="0" y="0"/>
            <wp:positionH relativeFrom="column">
              <wp:posOffset>-43180</wp:posOffset>
            </wp:positionH>
            <wp:positionV relativeFrom="paragraph">
              <wp:posOffset>75565</wp:posOffset>
            </wp:positionV>
            <wp:extent cx="5448300" cy="771525"/>
            <wp:effectExtent l="0" t="0" r="0" b="9525"/>
            <wp:wrapNone/>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6"/>
                    <pic:cNvPicPr>
                      <a:picLocks noChangeAspect="1"/>
                    </pic:cNvPicPr>
                  </pic:nvPicPr>
                  <pic:blipFill>
                    <a:blip r:embed="rId6"/>
                    <a:stretch>
                      <a:fillRect/>
                    </a:stretch>
                  </pic:blipFill>
                  <pic:spPr>
                    <a:xfrm>
                      <a:off x="0" y="0"/>
                      <a:ext cx="5448300" cy="771525"/>
                    </a:xfrm>
                    <a:prstGeom prst="rect">
                      <a:avLst/>
                    </a:prstGeom>
                    <a:noFill/>
                    <a:ln w="9525">
                      <a:noFill/>
                    </a:ln>
                  </pic:spPr>
                </pic:pic>
              </a:graphicData>
            </a:graphic>
          </wp:anchor>
        </w:drawing>
      </w:r>
    </w:p>
    <w:p>
      <w:pPr>
        <w:spacing w:line="560" w:lineRule="exact"/>
        <w:jc w:val="center"/>
        <w:rPr>
          <w:rFonts w:ascii="黑体" w:hAnsi="黑体" w:eastAsia="黑体" w:cs="黑体"/>
          <w:spacing w:val="-20"/>
          <w:sz w:val="36"/>
          <w:szCs w:val="36"/>
        </w:rPr>
      </w:pPr>
    </w:p>
    <w:p>
      <w:pPr>
        <w:spacing w:line="560" w:lineRule="exact"/>
        <w:jc w:val="center"/>
        <w:rPr>
          <w:rFonts w:ascii="黑体" w:hAnsi="黑体" w:eastAsia="黑体" w:cs="黑体"/>
          <w:spacing w:val="-20"/>
          <w:sz w:val="36"/>
          <w:szCs w:val="36"/>
        </w:rPr>
      </w:pPr>
    </w:p>
    <w:p>
      <w:pPr>
        <w:spacing w:line="560" w:lineRule="exact"/>
        <w:jc w:val="center"/>
        <w:rPr>
          <w:rFonts w:ascii="黑体" w:hAnsi="黑体" w:eastAsia="黑体" w:cs="黑体"/>
          <w:spacing w:val="-20"/>
          <w:sz w:val="36"/>
          <w:szCs w:val="36"/>
        </w:rPr>
      </w:pPr>
    </w:p>
    <w:p>
      <w:pPr>
        <w:jc w:val="center"/>
        <w:rPr>
          <w:rFonts w:hint="eastAsia" w:ascii="仿宋" w:hAnsi="仿宋" w:eastAsia="仿宋" w:cs="仿宋"/>
          <w:sz w:val="28"/>
          <w:szCs w:val="28"/>
        </w:rPr>
      </w:pPr>
      <w:r>
        <w:rPr>
          <w:sz w:val="28"/>
        </w:rPr>
        <w:pict>
          <v:line id="直接连接符 3" o:spid="_x0000_s2050" o:spt="20" style="position:absolute;left:0pt;margin-left:-4.5pt;margin-top:28.2pt;height:0pt;width:451.5pt;z-index:251660288;mso-width-relative:page;mso-height-relative:page;" filled="f" stroked="t" coordsize="21600,21600" o:gfxdata="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I+qvkTWAAAACAEAAA8AAAAAAAAAAQAgAAAA&#10;IgAAAGRycy9kb3ducmV2LnhtbFBLAQIUABQAAAAIAIdO4kD0iyO91AEAAGcDAAAOAAAAAAAAAAEA&#10;IAAAACUBAABkcnMvZTJvRG9jLnhtbFBLBQYAAAAABgAGAFkBAABrBQAAAAA=&#10;">
            <v:path arrowok="t"/>
            <v:fill on="f" focussize="0,0"/>
            <v:stroke weight="2.25pt" color="#FF0000" joinstyle="round"/>
            <v:imagedata o:title=""/>
            <o:lock v:ext="edit" aspectratio="f"/>
          </v:line>
        </w:pict>
      </w:r>
      <w:r>
        <w:rPr>
          <w:rFonts w:hint="eastAsia" w:ascii="仿宋" w:hAnsi="仿宋" w:eastAsia="仿宋" w:cs="仿宋"/>
          <w:sz w:val="28"/>
          <w:szCs w:val="28"/>
        </w:rPr>
        <w:t>萧</w:t>
      </w:r>
      <w:r>
        <w:rPr>
          <w:rFonts w:hint="eastAsia" w:ascii="仿宋" w:hAnsi="仿宋" w:eastAsia="仿宋" w:cs="仿宋"/>
          <w:sz w:val="28"/>
          <w:szCs w:val="28"/>
          <w:lang w:eastAsia="zh-CN"/>
        </w:rPr>
        <w:t>治水</w:t>
      </w:r>
      <w:r>
        <w:rPr>
          <w:rFonts w:hint="eastAsia" w:ascii="仿宋" w:hAnsi="仿宋" w:eastAsia="仿宋" w:cs="仿宋"/>
          <w:sz w:val="28"/>
          <w:szCs w:val="28"/>
        </w:rPr>
        <w:t>办〔201</w:t>
      </w:r>
      <w:r>
        <w:rPr>
          <w:rFonts w:hint="eastAsia" w:ascii="仿宋" w:hAnsi="仿宋" w:eastAsia="仿宋" w:cs="仿宋"/>
          <w:sz w:val="28"/>
          <w:szCs w:val="28"/>
          <w:lang w:val="en-US" w:eastAsia="zh-CN"/>
        </w:rPr>
        <w:t>8</w:t>
      </w:r>
      <w:r>
        <w:rPr>
          <w:rFonts w:hint="eastAsia" w:ascii="仿宋" w:hAnsi="仿宋" w:eastAsia="仿宋" w:cs="仿宋"/>
          <w:sz w:val="28"/>
          <w:szCs w:val="28"/>
        </w:rPr>
        <w:t>〕</w:t>
      </w:r>
      <w:r>
        <w:rPr>
          <w:rFonts w:hint="eastAsia" w:ascii="仿宋" w:hAnsi="仿宋" w:eastAsia="仿宋" w:cs="仿宋"/>
          <w:sz w:val="28"/>
          <w:szCs w:val="28"/>
          <w:lang w:val="en-US" w:eastAsia="zh-CN"/>
        </w:rPr>
        <w:t>64</w:t>
      </w:r>
      <w:r>
        <w:rPr>
          <w:rFonts w:hint="eastAsia" w:ascii="仿宋" w:hAnsi="仿宋" w:eastAsia="仿宋" w:cs="仿宋"/>
          <w:sz w:val="28"/>
          <w:szCs w:val="28"/>
        </w:rPr>
        <w:t>号</w:t>
      </w:r>
    </w:p>
    <w:p>
      <w:pPr>
        <w:spacing w:line="560" w:lineRule="exact"/>
        <w:jc w:val="center"/>
        <w:rPr>
          <w:rFonts w:ascii="黑体" w:hAnsi="黑体" w:eastAsia="黑体" w:cs="黑体"/>
          <w:spacing w:val="-20"/>
          <w:sz w:val="36"/>
          <w:szCs w:val="36"/>
        </w:rPr>
      </w:pPr>
    </w:p>
    <w:p>
      <w:pPr>
        <w:spacing w:line="560" w:lineRule="exact"/>
        <w:jc w:val="center"/>
        <w:rPr>
          <w:rFonts w:ascii="黑体" w:hAnsi="黑体" w:eastAsia="黑体" w:cs="黑体"/>
          <w:spacing w:val="-20"/>
          <w:sz w:val="36"/>
          <w:szCs w:val="36"/>
        </w:rPr>
      </w:pPr>
    </w:p>
    <w:p>
      <w:pPr>
        <w:spacing w:line="560" w:lineRule="exact"/>
        <w:jc w:val="center"/>
        <w:rPr>
          <w:rFonts w:ascii="黑体" w:hAnsi="黑体" w:eastAsia="黑体" w:cs="黑体"/>
          <w:spacing w:val="-20"/>
          <w:sz w:val="36"/>
          <w:szCs w:val="36"/>
        </w:rPr>
      </w:pPr>
      <w:r>
        <w:rPr>
          <w:rFonts w:hint="eastAsia" w:ascii="黑体" w:hAnsi="黑体" w:eastAsia="黑体" w:cs="黑体"/>
          <w:spacing w:val="-20"/>
          <w:sz w:val="36"/>
          <w:szCs w:val="36"/>
          <w:lang w:val="en-US" w:eastAsia="zh-CN"/>
        </w:rPr>
        <w:t xml:space="preserve"> </w:t>
      </w:r>
      <w:r>
        <w:rPr>
          <w:rFonts w:hint="eastAsia" w:ascii="黑体" w:hAnsi="黑体" w:eastAsia="黑体" w:cs="黑体"/>
          <w:spacing w:val="-20"/>
          <w:sz w:val="36"/>
          <w:szCs w:val="36"/>
        </w:rPr>
        <w:t>关于印发《萧山区“污水零直排区”建设行动方案》的通知</w:t>
      </w:r>
    </w:p>
    <w:p>
      <w:pPr>
        <w:keepNext w:val="0"/>
        <w:keepLines w:val="0"/>
        <w:pageBreakBefore w:val="0"/>
        <w:widowControl w:val="0"/>
        <w:kinsoku/>
        <w:wordWrap/>
        <w:overflowPunct/>
        <w:topLinePunct w:val="0"/>
        <w:autoSpaceDE/>
        <w:autoSpaceDN/>
        <w:bidi w:val="0"/>
        <w:adjustRightInd/>
        <w:snapToGrid/>
        <w:spacing w:line="560" w:lineRule="exact"/>
        <w:textAlignment w:val="auto"/>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kern w:val="0"/>
          <w:sz w:val="28"/>
          <w:szCs w:val="28"/>
        </w:rPr>
      </w:pPr>
      <w:r>
        <w:rPr>
          <w:rFonts w:hint="eastAsia" w:ascii="仿宋" w:hAnsi="仿宋" w:eastAsia="仿宋" w:cs="仿宋"/>
          <w:kern w:val="0"/>
          <w:sz w:val="28"/>
          <w:szCs w:val="28"/>
        </w:rPr>
        <w:t>各镇街、场（平台），有关部门：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 w:hAnsi="仿宋" w:eastAsia="仿宋" w:cs="仿宋"/>
          <w:kern w:val="0"/>
          <w:sz w:val="28"/>
          <w:szCs w:val="28"/>
        </w:rPr>
      </w:pPr>
      <w:r>
        <w:rPr>
          <w:rFonts w:hint="eastAsia" w:ascii="仿宋" w:hAnsi="仿宋" w:eastAsia="仿宋" w:cs="仿宋"/>
          <w:kern w:val="0"/>
          <w:sz w:val="28"/>
          <w:szCs w:val="28"/>
        </w:rPr>
        <w:t>为高水平推进我区“五水共治”工作，巩固治水成效，防止水质反弹，根据《浙江省“污水零直排区”建设行动方案》和《杭州市“污水零直排区”建设行动方案》（杭治水办〔2018〕101号）文件要求，特制定了《萧山区“污水零直排区”建设行动方案》。</w:t>
      </w:r>
      <w:r>
        <w:rPr>
          <w:rFonts w:hint="eastAsia" w:ascii="仿宋" w:hAnsi="仿宋" w:eastAsia="仿宋" w:cs="仿宋"/>
          <w:kern w:val="0"/>
          <w:sz w:val="28"/>
          <w:szCs w:val="28"/>
          <w:lang w:eastAsia="zh-CN"/>
        </w:rPr>
        <w:t>经区委、区政府同意，现将方案印发给你们，请认真抓好落实。</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0"/>
          <w:sz w:val="28"/>
          <w:szCs w:val="28"/>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kern w:val="0"/>
          <w:sz w:val="28"/>
          <w:szCs w:val="28"/>
        </w:rPr>
      </w:pPr>
      <w:r>
        <w:drawing>
          <wp:anchor distT="0" distB="0" distL="114300" distR="114300" simplePos="0" relativeHeight="251665408" behindDoc="1" locked="0" layoutInCell="1" allowOverlap="1">
            <wp:simplePos x="0" y="0"/>
            <wp:positionH relativeFrom="column">
              <wp:posOffset>2860675</wp:posOffset>
            </wp:positionH>
            <wp:positionV relativeFrom="paragraph">
              <wp:posOffset>205740</wp:posOffset>
            </wp:positionV>
            <wp:extent cx="1809115" cy="1780540"/>
            <wp:effectExtent l="9525" t="9525" r="48260" b="38735"/>
            <wp:wrapNone/>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7">
                      <a:clrChange>
                        <a:clrFrom>
                          <a:srgbClr val="FFFDFF"/>
                        </a:clrFrom>
                        <a:clrTo>
                          <a:srgbClr val="FFFDFF">
                            <a:alpha val="0"/>
                          </a:srgbClr>
                        </a:clrTo>
                      </a:clrChange>
                    </a:blip>
                    <a:stretch>
                      <a:fillRect/>
                    </a:stretch>
                  </pic:blipFill>
                  <pic:spPr>
                    <a:xfrm>
                      <a:off x="0" y="0"/>
                      <a:ext cx="1809115" cy="1780540"/>
                    </a:xfrm>
                    <a:prstGeom prst="rect">
                      <a:avLst/>
                    </a:prstGeom>
                    <a:solidFill>
                      <a:srgbClr val="FFFFFF"/>
                    </a:solidFill>
                    <a:ln w="9525" cap="flat" cmpd="sng">
                      <a:solidFill>
                        <a:srgbClr val="FFFFFF"/>
                      </a:solidFill>
                      <a:prstDash val="solid"/>
                      <a:miter/>
                      <a:headEnd type="none" w="med" len="med"/>
                      <a:tailEnd type="none" w="med" len="med"/>
                    </a:ln>
                    <a:effectLst>
                      <a:outerShdw dist="35921" dir="2699999" algn="ctr" rotWithShape="0">
                        <a:srgbClr val="FFFFFF"/>
                      </a:outerShdw>
                    </a:effectLst>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kern w:val="0"/>
          <w:sz w:val="28"/>
          <w:szCs w:val="28"/>
        </w:rPr>
      </w:pPr>
      <w:r>
        <w:rPr>
          <w:rFonts w:hint="eastAsia" w:ascii="仿宋_GB2312" w:hAnsi="仿宋_GB2312" w:eastAsia="仿宋_GB2312" w:cs="仿宋_GB2312"/>
          <w:spacing w:val="0"/>
          <w:sz w:val="30"/>
          <w:szCs w:val="30"/>
          <w:lang w:val="en-US" w:eastAsia="zh-CN"/>
        </w:rPr>
        <w:drawing>
          <wp:anchor distT="0" distB="0" distL="114300" distR="114300" simplePos="0" relativeHeight="251664384" behindDoc="0" locked="0" layoutInCell="1" allowOverlap="1">
            <wp:simplePos x="0" y="0"/>
            <wp:positionH relativeFrom="column">
              <wp:posOffset>1572260</wp:posOffset>
            </wp:positionH>
            <wp:positionV relativeFrom="paragraph">
              <wp:posOffset>14605</wp:posOffset>
            </wp:positionV>
            <wp:extent cx="1456690" cy="1456690"/>
            <wp:effectExtent l="0" t="0" r="10160" b="10160"/>
            <wp:wrapNone/>
            <wp:docPr id="2" name="图片 3" descr="五水办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五水办章"/>
                    <pic:cNvPicPr>
                      <a:picLocks noChangeAspect="1"/>
                    </pic:cNvPicPr>
                  </pic:nvPicPr>
                  <pic:blipFill>
                    <a:blip r:embed="rId8"/>
                    <a:stretch>
                      <a:fillRect/>
                    </a:stretch>
                  </pic:blipFill>
                  <pic:spPr>
                    <a:xfrm>
                      <a:off x="0" y="0"/>
                      <a:ext cx="1456690" cy="1456690"/>
                    </a:xfrm>
                    <a:prstGeom prst="rect">
                      <a:avLst/>
                    </a:prstGeom>
                    <a:noFill/>
                    <a:ln w="9525">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560" w:lineRule="exact"/>
        <w:ind w:firstLine="2520" w:firstLineChars="900"/>
        <w:textAlignment w:val="auto"/>
        <w:rPr>
          <w:rFonts w:hint="eastAsia" w:ascii="仿宋" w:hAnsi="仿宋" w:eastAsia="仿宋" w:cs="仿宋"/>
          <w:sz w:val="28"/>
          <w:szCs w:val="28"/>
        </w:rPr>
      </w:pPr>
      <w:r>
        <w:rPr>
          <w:rFonts w:hint="eastAsia" w:ascii="仿宋" w:hAnsi="仿宋" w:eastAsia="仿宋" w:cs="仿宋"/>
          <w:sz w:val="28"/>
          <w:szCs w:val="28"/>
        </w:rPr>
        <w:t>萧山区“五水共治”工作领导小组办公室</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                          萧山区河长制办公室</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                            2018年</w:t>
      </w:r>
      <w:r>
        <w:rPr>
          <w:rFonts w:hint="eastAsia" w:ascii="仿宋" w:hAnsi="仿宋" w:eastAsia="仿宋" w:cs="仿宋"/>
          <w:sz w:val="28"/>
          <w:szCs w:val="28"/>
          <w:lang w:val="en-US" w:eastAsia="zh-CN"/>
        </w:rPr>
        <w:t>8</w:t>
      </w:r>
      <w:r>
        <w:rPr>
          <w:rFonts w:hint="eastAsia" w:ascii="仿宋" w:hAnsi="仿宋" w:eastAsia="仿宋" w:cs="仿宋"/>
          <w:sz w:val="28"/>
          <w:szCs w:val="28"/>
        </w:rPr>
        <w:t>月1日</w:t>
      </w:r>
    </w:p>
    <w:p>
      <w:pPr>
        <w:spacing w:line="540" w:lineRule="exact"/>
        <w:rPr>
          <w:rFonts w:ascii="仿宋_GB2312" w:hAnsi="仿宋_GB2312" w:cs="仿宋_GB2312"/>
          <w:kern w:val="0"/>
          <w:sz w:val="30"/>
          <w:szCs w:val="30"/>
        </w:rPr>
      </w:pPr>
    </w:p>
    <w:p>
      <w:pPr>
        <w:pStyle w:val="7"/>
        <w:spacing w:line="560" w:lineRule="exact"/>
        <w:rPr>
          <w:rFonts w:hint="eastAsia" w:ascii="黑体" w:hAnsi="黑体" w:eastAsia="黑体" w:cs="黑体"/>
          <w:sz w:val="36"/>
          <w:szCs w:val="36"/>
        </w:rPr>
      </w:pPr>
    </w:p>
    <w:p>
      <w:pPr>
        <w:pStyle w:val="7"/>
        <w:spacing w:line="560" w:lineRule="exact"/>
        <w:rPr>
          <w:rFonts w:ascii="黑体" w:hAnsi="黑体" w:eastAsia="黑体" w:cs="黑体"/>
          <w:sz w:val="36"/>
          <w:szCs w:val="36"/>
        </w:rPr>
      </w:pPr>
      <w:r>
        <w:rPr>
          <w:rFonts w:hint="eastAsia" w:ascii="黑体" w:hAnsi="黑体" w:eastAsia="黑体" w:cs="黑体"/>
          <w:sz w:val="36"/>
          <w:szCs w:val="36"/>
        </w:rPr>
        <w:t>萧山区“污水零直排区”建设行动方案</w:t>
      </w:r>
    </w:p>
    <w:p>
      <w:pPr>
        <w:pStyle w:val="7"/>
        <w:outlineLvl w:val="9"/>
        <w:rPr>
          <w:rFonts w:hint="eastAsia" w:ascii="仿宋" w:hAnsi="仿宋" w:eastAsia="仿宋" w:cs="仿宋"/>
          <w:color w:val="auto"/>
          <w:sz w:val="28"/>
          <w:szCs w:val="28"/>
        </w:rPr>
      </w:pP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为深入贯彻落实习近平新时代中国特色社会主义思想和党的十九大精神以及《浙江省水污染防治行动计划》、《浙江省“污水零直排区”建设行动方案》和《杭州市水污染防治行动计划》、《杭州市“污水零直排区”建设行动方案》要求，高水平推进“五水共治”，切实巩固提升治水成果，有效防止水质反弹，特制定本方案。</w:t>
      </w:r>
    </w:p>
    <w:p>
      <w:pPr>
        <w:pStyle w:val="8"/>
        <w:spacing w:line="520" w:lineRule="exact"/>
        <w:ind w:firstLine="602"/>
        <w:rPr>
          <w:rFonts w:hint="eastAsia" w:ascii="仿宋" w:hAnsi="仿宋" w:eastAsia="仿宋" w:cs="仿宋"/>
          <w:b/>
          <w:kern w:val="0"/>
          <w:sz w:val="28"/>
          <w:szCs w:val="28"/>
        </w:rPr>
      </w:pPr>
      <w:r>
        <w:rPr>
          <w:rFonts w:hint="eastAsia" w:ascii="仿宋" w:hAnsi="仿宋" w:eastAsia="仿宋" w:cs="仿宋"/>
          <w:b/>
          <w:kern w:val="0"/>
          <w:sz w:val="28"/>
          <w:szCs w:val="28"/>
        </w:rPr>
        <w:t>一、总体目标</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以全面提升水环境质量为目标，坚持“统筹规划、突出重点、分类实施、整体推进”的原则，以污水处理厂和管网建设为基础，以持续推进全面彻底的污水纳管和严格的雨污分流为核心，基本实现全区雨污管网全覆盖、污水全收集、雨污全分流、处理全达标。到2021年，力争全区所有镇街、场（平台）达到“污水零直排区”建设标准，地表水环境质量持续改善。</w:t>
      </w:r>
    </w:p>
    <w:p>
      <w:pPr>
        <w:pStyle w:val="8"/>
        <w:spacing w:line="520" w:lineRule="exact"/>
        <w:ind w:firstLine="602"/>
        <w:rPr>
          <w:rFonts w:hint="eastAsia" w:ascii="仿宋" w:hAnsi="仿宋" w:eastAsia="仿宋" w:cs="仿宋"/>
          <w:b/>
          <w:kern w:val="0"/>
          <w:sz w:val="28"/>
          <w:szCs w:val="28"/>
        </w:rPr>
      </w:pPr>
      <w:r>
        <w:rPr>
          <w:rFonts w:hint="eastAsia" w:ascii="仿宋" w:hAnsi="仿宋" w:eastAsia="仿宋" w:cs="仿宋"/>
          <w:b/>
          <w:kern w:val="0"/>
          <w:sz w:val="28"/>
          <w:szCs w:val="28"/>
        </w:rPr>
        <w:t>二、主要任务</w:t>
      </w:r>
    </w:p>
    <w:p>
      <w:pPr>
        <w:pStyle w:val="9"/>
        <w:spacing w:line="520" w:lineRule="exact"/>
        <w:ind w:firstLine="602"/>
        <w:rPr>
          <w:rFonts w:hint="eastAsia" w:ascii="仿宋" w:hAnsi="仿宋" w:eastAsia="仿宋" w:cs="仿宋"/>
          <w:b/>
          <w:bCs/>
          <w:kern w:val="0"/>
          <w:sz w:val="28"/>
          <w:szCs w:val="28"/>
        </w:rPr>
      </w:pPr>
      <w:r>
        <w:rPr>
          <w:rFonts w:hint="eastAsia" w:ascii="仿宋" w:hAnsi="仿宋" w:eastAsia="仿宋" w:cs="仿宋"/>
          <w:b/>
          <w:bCs/>
          <w:kern w:val="0"/>
          <w:sz w:val="28"/>
          <w:szCs w:val="28"/>
        </w:rPr>
        <w:t>（一）全面排查</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以各镇街、场（平台）为单位，结合“点、线、面、网”，系统全面对建成区内所有排污单位、区块情况进行地毯式、网格式排查，特别要突出城中村、城郊结合部、老城区、城镇建成区、工业园区（工业集聚区）、大型综合体和八小行业集聚区域等重点区块，做到无遗漏、无盲点，彻底理清管网底账和污染源头情况。</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全面查清工业园区（工业集聚区）类、生活小区类和其他类等三大类建设单元的截污纳管情况，重点查明污水排水体系、雨污有无混接等问题，对污染源性质、排水许可证、污染物浓度及排放量、污水处理设施等进行逐一排查记录。</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2.全面查清污水收集管网建设运行情况，全面测绘并厘清现有管网系统布局走向、管网底账。查明重点区块、重点单位管网是否覆盖、管网是否存在错接、漏接、淤积、错位、破损、溢漏等结构性和功能性缺陷。对排水体制、管网服务范围、管径、长度、标高、埋深等情况逐一排查记录。查清截流井设置、雨污合流、山水混接、河水倒灌等情况。</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3.全面查清污水处理厂和农村生活污水设施运行维护情况，重点查明污水处理设施是否存在超负荷、超排放标准运行的情况，污水处理厂尾水是否存在再生利用的可行性等问题。</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4.全面查清排污（水）口整治情况，重点查明排污（水）口是否按规范设置、是否存在异常排污等情况。</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5.全面查清水产养殖尾水排放情况，重点查明规模以上养殖主体的池塘、设施大棚、工厂化养殖等尾水是否存在直排现象，是否建立养殖尾水处理设施及设施建成后的运行维护等情况。</w:t>
      </w:r>
    </w:p>
    <w:p>
      <w:pPr>
        <w:pStyle w:val="9"/>
        <w:spacing w:line="520" w:lineRule="exact"/>
        <w:ind w:firstLine="602"/>
        <w:rPr>
          <w:rFonts w:hint="eastAsia" w:ascii="仿宋" w:hAnsi="仿宋" w:eastAsia="仿宋" w:cs="仿宋"/>
          <w:b/>
          <w:bCs/>
          <w:kern w:val="0"/>
          <w:sz w:val="28"/>
          <w:szCs w:val="28"/>
        </w:rPr>
      </w:pPr>
      <w:r>
        <w:rPr>
          <w:rFonts w:hint="eastAsia" w:ascii="仿宋" w:hAnsi="仿宋" w:eastAsia="仿宋" w:cs="仿宋"/>
          <w:b/>
          <w:bCs/>
          <w:kern w:val="0"/>
          <w:sz w:val="28"/>
          <w:szCs w:val="28"/>
        </w:rPr>
        <w:t>（二）制订方案</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各镇街、场（平台）要根据全区行动方案和部署，编制建设具体实施方案，厘出问题短板，建立问题清单、任务清单、项目清单和责任清单，实行挂图作战。按照逐级管理的原则，各级建设方案均需报上级治水办备案，并向社会公开。</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2.加强规划区域间的共享统筹，优化厂网布局，确保每个区块污水都有管收集、有设施（厂）处理。各镇街、场（平台）要按照“统筹规划、因地制宜”的原则系统谋划污水处理设施和配套管网建设，制定相应提升改造方案。</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3.存在问题的工业园区（工业集聚区）类、生活小区类和其他类等三大类基本建设单元内所有排污单位、区块均要对照相应建设标准，制定“一点一策”治理方案，确定项目表、时间表和责任表。</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4.污水处理厂，要根据实际情况制定尾水再生利用方案。列入尾水生态化治理（改造）试点的水产养殖示范场（点），要制定水产养殖尾水生态化治理（改造）方案。</w:t>
      </w:r>
    </w:p>
    <w:p>
      <w:pPr>
        <w:pStyle w:val="9"/>
        <w:spacing w:line="520" w:lineRule="exact"/>
        <w:ind w:firstLine="602"/>
        <w:rPr>
          <w:rFonts w:hint="eastAsia" w:ascii="仿宋" w:hAnsi="仿宋" w:eastAsia="仿宋" w:cs="仿宋"/>
          <w:b/>
          <w:bCs/>
          <w:kern w:val="0"/>
          <w:sz w:val="28"/>
          <w:szCs w:val="28"/>
        </w:rPr>
      </w:pPr>
      <w:r>
        <w:rPr>
          <w:rFonts w:hint="eastAsia" w:ascii="仿宋" w:hAnsi="仿宋" w:eastAsia="仿宋" w:cs="仿宋"/>
          <w:b/>
          <w:bCs/>
          <w:kern w:val="0"/>
          <w:sz w:val="28"/>
          <w:szCs w:val="28"/>
        </w:rPr>
        <w:t>（三）全面整改</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深入推进污水纳管和雨污分流工作，参照住建部《城市黑臭水体整治—排水口、管道及检查井治理技术指南（试行）》，按照项目化推进、清单化管理的要求，对存在的问题进行有效整治。</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深入开展城镇雨污分流改造，严格实行雨污分流。对现有截流式合流制排水系统进行改造，全面取消截流井，全面整治河水倒灌、雨污混接等问题；阳台污水合流制的小区进行分流改造；新建小区必须严格实行雨污分流，阳台污水设置独立的排水系统。对2年内拆迁改造和确因条件限制难以实施改造的区块、排水户，应根据具体情况，因地制宜建设临时截污设施，防止污水直排。</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2.全面开展城镇和工业园区（工业集聚区）老旧管网修复和改造，打通断头管、修复破损管、纠正错接管、改造混接管、疏通淤积管。</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3.深入开展企业内部和工业园区（工业集聚区）雨污分流改造，做到厂区可能受污染的初期雨水、工业废水、生活餐饮污水的清污分流和分质分流。深入推进化工、电镀、造纸、印染、制革等重点行业废水输送明管化改造。</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4.按照培育一批示范企业、集聚一批小散企业、消减一批危重企业的总体思路，深入开展“散、乱、污”企业和小作坊、小餐饮等其他类建设单元的雨污分流改造。</w:t>
      </w:r>
    </w:p>
    <w:p>
      <w:pPr>
        <w:pStyle w:val="9"/>
        <w:spacing w:line="520" w:lineRule="exact"/>
        <w:ind w:firstLine="602"/>
        <w:rPr>
          <w:rFonts w:hint="eastAsia" w:ascii="仿宋" w:hAnsi="仿宋" w:eastAsia="仿宋" w:cs="仿宋"/>
          <w:b/>
          <w:bCs/>
          <w:kern w:val="0"/>
          <w:sz w:val="28"/>
          <w:szCs w:val="28"/>
        </w:rPr>
      </w:pPr>
      <w:r>
        <w:rPr>
          <w:rFonts w:hint="eastAsia" w:ascii="仿宋" w:hAnsi="仿宋" w:eastAsia="仿宋" w:cs="仿宋"/>
          <w:b/>
          <w:bCs/>
          <w:kern w:val="0"/>
          <w:sz w:val="28"/>
          <w:szCs w:val="28"/>
        </w:rPr>
        <w:t>（四）加快建设</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污水处理厂建设。临江污水厂扩建项目，在2018年底前完成常规处理段调节池、生化池、初沉池结构主体，同步完成主体工程建设的80%；2019年底前全面完成工程建设、设备安装和调试工作。钱江污水厂扩建项目，在2019年底前开工建设；2020年底前完成80%；2021年底前全面完成工程建设、设备安装和调试工作。</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2.积极推进污水处理厂尾水再生利用项目建设，完善再生水利用设施。</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3.加快污水收集管网特别是支线管网建设，优先解决建成区污水处理厂配套管网不足的问题，重点区块雨污分流改造与污水收集管网延伸工程做到同步配套。</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4.提高水产养殖尾水循环利用率，提高尾水生态化处理设施建设率，建立水产养殖尾水生态化治理（改造）示范工程项目，以生态养殖、健康养殖为导向，采用先进技术优化养殖模式，减少尾水排放。</w:t>
      </w:r>
    </w:p>
    <w:p>
      <w:pPr>
        <w:pStyle w:val="9"/>
        <w:spacing w:line="520" w:lineRule="exact"/>
        <w:ind w:firstLine="602"/>
        <w:rPr>
          <w:rFonts w:hint="eastAsia" w:ascii="仿宋" w:hAnsi="仿宋" w:eastAsia="仿宋" w:cs="仿宋"/>
          <w:b/>
          <w:bCs/>
          <w:kern w:val="0"/>
          <w:sz w:val="28"/>
          <w:szCs w:val="28"/>
        </w:rPr>
      </w:pPr>
      <w:r>
        <w:rPr>
          <w:rFonts w:hint="eastAsia" w:ascii="仿宋" w:hAnsi="仿宋" w:eastAsia="仿宋" w:cs="仿宋"/>
          <w:b/>
          <w:bCs/>
          <w:kern w:val="0"/>
          <w:sz w:val="28"/>
          <w:szCs w:val="28"/>
        </w:rPr>
        <w:t>（五）强化管理</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全面落实已建排水设施养护单位，建立完善已建管网移交和档案管理制度，严格实施管网巡查、检测、清淤和维修等机制，切实落实日常养护、管理责任。</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1.加强污水处理设施及污水处理厂尾水再生利用系统的运行管理，建立和完善污水处理设施第三方运营机制。</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2.全面实施城镇污水排入排水管网许可制度，依法核发排水许可证。各类排水户应当按照国家和地方有关规定向城镇污水管网排放污水，并符合排水许可证要求。</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3.推进水产养殖尾水生态化处理设施出水的水质监测工作，确保出水水质达到排放要求。</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4.切实加强对排水户污水排放的监管，坚持对违章排水行为“零容忍”。对于应当申领污水排入排水管网许可证的排水户，未取得许可证或不按照许可证要求排放污水的，严格依法追究法律责任。同时，加强对各类排水户及排水设施的动态监管，特别是大型综合体、沿街商铺等业态变化较快的区域，要加大监管力度，实时对管网图进行更新，防止出现新的错接、漏接、混接、溢流等情况。</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5.强化工业企业监管，继续保持打击水环境违法行为的高压态势。对偷排、漏排以及超标排放水污染物等各类违法行为，依法严肃查处；触犯刑法的，依法追究刑事责任。</w:t>
      </w:r>
    </w:p>
    <w:p>
      <w:pPr>
        <w:pStyle w:val="9"/>
        <w:spacing w:line="520" w:lineRule="exact"/>
        <w:ind w:firstLine="602"/>
        <w:rPr>
          <w:rFonts w:hint="eastAsia" w:ascii="仿宋" w:hAnsi="仿宋" w:eastAsia="仿宋" w:cs="仿宋"/>
          <w:b/>
          <w:bCs/>
          <w:kern w:val="0"/>
          <w:sz w:val="28"/>
          <w:szCs w:val="28"/>
        </w:rPr>
      </w:pPr>
      <w:r>
        <w:rPr>
          <w:rFonts w:hint="eastAsia" w:ascii="仿宋" w:hAnsi="仿宋" w:eastAsia="仿宋" w:cs="仿宋"/>
          <w:b/>
          <w:bCs/>
          <w:kern w:val="0"/>
          <w:sz w:val="28"/>
          <w:szCs w:val="28"/>
        </w:rPr>
        <w:t>（六）严格验收</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1.各镇街、场（平台）要切实加强工程建设质量管控，落实施工图设计文件审查、工程质量安全监督与监理、施工许可、竣工测量以及档案验收移交等制度，确保工程质量。</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2.严格创建验收标准，各镇街、场（平台）要严格按照省、市区“污水零直排区”创建和验收标准开展工业园区（工业集聚区）类、生活小区类和其他类建设单元以及镇（街道）“污水零直排区”建设的验收工作。</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3.区级相关部门要做好指导服务工作，制定相应的调查、建设及验收标准，加强日常指导和督促。开展复核验收时，区级相关行业主管部门要发挥专业优势，对各镇街、场（平台）“污水零直排区”建设实质性措施进行全面审查把关。</w:t>
      </w:r>
    </w:p>
    <w:p>
      <w:pPr>
        <w:pStyle w:val="8"/>
        <w:spacing w:line="520" w:lineRule="exact"/>
        <w:ind w:firstLine="602"/>
        <w:rPr>
          <w:rFonts w:hint="eastAsia" w:ascii="仿宋" w:hAnsi="仿宋" w:eastAsia="仿宋" w:cs="仿宋"/>
          <w:b/>
          <w:kern w:val="0"/>
          <w:sz w:val="28"/>
          <w:szCs w:val="28"/>
        </w:rPr>
      </w:pPr>
      <w:r>
        <w:rPr>
          <w:rFonts w:hint="eastAsia" w:ascii="仿宋" w:hAnsi="仿宋" w:eastAsia="仿宋" w:cs="仿宋"/>
          <w:b/>
          <w:kern w:val="0"/>
          <w:sz w:val="28"/>
          <w:szCs w:val="28"/>
        </w:rPr>
        <w:t>三、步骤安排</w:t>
      </w:r>
    </w:p>
    <w:p>
      <w:pPr>
        <w:spacing w:line="520" w:lineRule="exact"/>
        <w:ind w:firstLine="562" w:firstLineChars="200"/>
        <w:rPr>
          <w:rFonts w:hint="eastAsia" w:ascii="仿宋" w:hAnsi="仿宋" w:eastAsia="仿宋" w:cs="仿宋"/>
          <w:b/>
          <w:bCs/>
          <w:kern w:val="0"/>
          <w:sz w:val="28"/>
          <w:szCs w:val="28"/>
          <w:lang w:val="en-US" w:eastAsia="zh-CN"/>
        </w:rPr>
      </w:pPr>
      <w:r>
        <w:rPr>
          <w:rFonts w:hint="eastAsia" w:ascii="仿宋" w:hAnsi="仿宋" w:eastAsia="仿宋" w:cs="仿宋"/>
          <w:b/>
          <w:bCs/>
          <w:kern w:val="0"/>
          <w:sz w:val="28"/>
          <w:szCs w:val="28"/>
          <w:lang w:val="en-US" w:eastAsia="zh-CN"/>
        </w:rPr>
        <w:t>（一）宣传发动阶段（2018年8月）</w:t>
      </w:r>
    </w:p>
    <w:p>
      <w:pPr>
        <w:spacing w:line="520" w:lineRule="exact"/>
        <w:ind w:firstLine="560" w:firstLineChars="2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 xml:space="preserve">开展动员部署，制定镇街、场（平台）“污水零直排区"建设工作实施意见，成立组织机构，细化工作目标和工作职责，明确工作重点，落实工作责任；进行广泛的宣传和动员，营造全社会、全民参与的良好氛围。 　　 </w:t>
      </w:r>
    </w:p>
    <w:p>
      <w:pPr>
        <w:spacing w:line="520" w:lineRule="exact"/>
        <w:ind w:firstLine="562" w:firstLineChars="200"/>
        <w:rPr>
          <w:rFonts w:hint="eastAsia" w:ascii="仿宋" w:hAnsi="仿宋" w:eastAsia="仿宋" w:cs="仿宋"/>
          <w:b/>
          <w:bCs/>
          <w:kern w:val="0"/>
          <w:sz w:val="28"/>
          <w:szCs w:val="28"/>
          <w:lang w:val="en-US" w:eastAsia="zh-CN"/>
        </w:rPr>
      </w:pPr>
      <w:r>
        <w:rPr>
          <w:rFonts w:hint="eastAsia" w:ascii="仿宋" w:hAnsi="仿宋" w:eastAsia="仿宋" w:cs="仿宋"/>
          <w:b/>
          <w:bCs/>
          <w:kern w:val="0"/>
          <w:sz w:val="28"/>
          <w:szCs w:val="28"/>
          <w:lang w:val="en-US" w:eastAsia="zh-CN"/>
        </w:rPr>
        <w:t>（二）调查摸底阶段（2018年9月—2019年6月）</w:t>
      </w:r>
    </w:p>
    <w:p>
      <w:pPr>
        <w:spacing w:line="520" w:lineRule="exact"/>
        <w:ind w:firstLine="560" w:firstLineChars="2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各镇街、场（平台）要对未截污纳管的工业企业、八小行业、沿街店铺集聚区和未实施雨污分流的住宅小区、企事业单位，以及入河排污（水）口、</w:t>
      </w:r>
      <w:r>
        <w:rPr>
          <w:rFonts w:hint="eastAsia" w:ascii="仿宋" w:hAnsi="仿宋" w:eastAsia="仿宋" w:cs="仿宋"/>
          <w:kern w:val="0"/>
          <w:sz w:val="28"/>
          <w:szCs w:val="28"/>
        </w:rPr>
        <w:t>水产养殖尾水排放情况</w:t>
      </w:r>
      <w:r>
        <w:rPr>
          <w:rFonts w:hint="eastAsia" w:ascii="仿宋" w:hAnsi="仿宋" w:eastAsia="仿宋" w:cs="仿宋"/>
          <w:kern w:val="0"/>
          <w:sz w:val="28"/>
          <w:szCs w:val="28"/>
          <w:lang w:val="en-US" w:eastAsia="zh-CN"/>
        </w:rPr>
        <w:t>开展全面排查工作，形成问题清单、任务清单、项目清单、责任清单（2018年度主要对生活小区进行彻底排查）。</w:t>
      </w:r>
    </w:p>
    <w:p>
      <w:pPr>
        <w:spacing w:line="520" w:lineRule="exact"/>
        <w:ind w:firstLine="562" w:firstLineChars="200"/>
        <w:rPr>
          <w:rFonts w:hint="eastAsia" w:ascii="仿宋" w:hAnsi="仿宋" w:eastAsia="仿宋" w:cs="仿宋"/>
          <w:b/>
          <w:bCs/>
          <w:kern w:val="0"/>
          <w:sz w:val="28"/>
          <w:szCs w:val="28"/>
          <w:lang w:val="en-US" w:eastAsia="zh-CN"/>
        </w:rPr>
      </w:pPr>
      <w:r>
        <w:rPr>
          <w:rFonts w:hint="eastAsia" w:ascii="仿宋" w:hAnsi="仿宋" w:eastAsia="仿宋" w:cs="仿宋"/>
          <w:b/>
          <w:bCs/>
          <w:kern w:val="0"/>
          <w:sz w:val="28"/>
          <w:szCs w:val="28"/>
          <w:lang w:val="en-US" w:eastAsia="zh-CN"/>
        </w:rPr>
        <w:t>（三）全面实施阶段（2018年9月—2021年12月）</w:t>
      </w:r>
    </w:p>
    <w:p>
      <w:pPr>
        <w:spacing w:line="520" w:lineRule="exact"/>
        <w:ind w:firstLine="560" w:firstLineChars="2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根据调查确定的项目清单，全面推进城“污水零直排区”创建工作，对农村污水终端池进行提标改造；对生活小区、企事业单位进行雨污分流改造；对工业企业、八小行业、沿街店铺集聚区等进行截污纳管；对畜禽养殖尾水生态化治理（改造）试点进行建设；对城区市政污水管网进行建设和改造。</w:t>
      </w:r>
      <w:r>
        <w:rPr>
          <w:rFonts w:hint="eastAsia" w:ascii="仿宋" w:hAnsi="仿宋" w:eastAsia="仿宋" w:cs="仿宋"/>
          <w:kern w:val="0"/>
          <w:sz w:val="28"/>
          <w:szCs w:val="28"/>
        </w:rPr>
        <w:t>各镇街、场（平台）要按照全市“污水零直排区”总体建设目标，统筹协调自身建设进度，原则上，到2019年底，40%以上镇（街道）达到“污水零直排区”建设标准；到2020年底，80%以上镇（街道）达到“污水零直排区”建设标准；到2021年底，辖区内所有镇（街道）基本达到“污水零直排区”建设标准。</w:t>
      </w:r>
    </w:p>
    <w:p>
      <w:pPr>
        <w:spacing w:line="520" w:lineRule="exact"/>
        <w:ind w:firstLine="562" w:firstLineChars="200"/>
        <w:rPr>
          <w:rFonts w:hint="eastAsia" w:ascii="仿宋" w:hAnsi="仿宋" w:eastAsia="仿宋" w:cs="仿宋"/>
          <w:b/>
          <w:bCs/>
          <w:kern w:val="0"/>
          <w:sz w:val="28"/>
          <w:szCs w:val="28"/>
          <w:lang w:val="en-US" w:eastAsia="zh-CN"/>
        </w:rPr>
      </w:pPr>
      <w:r>
        <w:rPr>
          <w:rFonts w:hint="eastAsia" w:ascii="仿宋" w:hAnsi="仿宋" w:eastAsia="仿宋" w:cs="仿宋"/>
          <w:b/>
          <w:bCs/>
          <w:kern w:val="0"/>
          <w:sz w:val="28"/>
          <w:szCs w:val="28"/>
          <w:lang w:val="en-US" w:eastAsia="zh-CN"/>
        </w:rPr>
        <w:t>（四）创建验收阶段（2019年1月—2021年12月）</w:t>
      </w:r>
    </w:p>
    <w:p>
      <w:pPr>
        <w:spacing w:line="520" w:lineRule="exact"/>
        <w:ind w:firstLine="560" w:firstLineChars="200"/>
        <w:rPr>
          <w:rFonts w:hint="eastAsia" w:ascii="仿宋" w:hAnsi="仿宋" w:eastAsia="仿宋" w:cs="仿宋"/>
          <w:kern w:val="0"/>
          <w:sz w:val="28"/>
          <w:szCs w:val="28"/>
          <w:lang w:val="en-US" w:eastAsia="zh-CN"/>
        </w:rPr>
      </w:pPr>
      <w:r>
        <w:rPr>
          <w:rFonts w:hint="eastAsia" w:ascii="仿宋" w:hAnsi="仿宋" w:eastAsia="仿宋" w:cs="仿宋"/>
          <w:kern w:val="0"/>
          <w:sz w:val="28"/>
          <w:szCs w:val="28"/>
        </w:rPr>
        <w:t>各镇街、场（平台）根据辖区创建“污水零直排区”工作推进情况，分期分批开展创建验收工作。2018年试点建设及后续年度建设任务，应在当年年底前完成验收。验收通过后，抽查发现问题，经整改后复查仍不合格的，重新整治、验收。到2021年底，基本完成市区两级验收，建设成果得到持续巩固提升，污水处理设施运维水平明显提高，全区基本建成“污水零直排区”</w:t>
      </w:r>
      <w:r>
        <w:rPr>
          <w:rFonts w:hint="eastAsia" w:ascii="仿宋" w:hAnsi="仿宋" w:eastAsia="仿宋" w:cs="仿宋"/>
          <w:kern w:val="0"/>
          <w:sz w:val="28"/>
          <w:szCs w:val="28"/>
          <w:lang w:val="en-US" w:eastAsia="zh-CN"/>
        </w:rPr>
        <w:t xml:space="preserve">。 </w:t>
      </w:r>
    </w:p>
    <w:p>
      <w:pPr>
        <w:pStyle w:val="8"/>
        <w:spacing w:line="520" w:lineRule="exact"/>
        <w:ind w:firstLine="602"/>
        <w:rPr>
          <w:rFonts w:hint="eastAsia" w:ascii="仿宋" w:hAnsi="仿宋" w:eastAsia="仿宋" w:cs="仿宋"/>
          <w:b/>
          <w:color w:val="000000"/>
          <w:kern w:val="0"/>
          <w:sz w:val="28"/>
          <w:szCs w:val="28"/>
        </w:rPr>
      </w:pPr>
      <w:r>
        <w:rPr>
          <w:rFonts w:hint="eastAsia" w:ascii="仿宋" w:hAnsi="仿宋" w:eastAsia="仿宋" w:cs="仿宋"/>
          <w:b/>
          <w:color w:val="000000"/>
          <w:kern w:val="0"/>
          <w:sz w:val="28"/>
          <w:szCs w:val="28"/>
        </w:rPr>
        <w:t>四、职责分工</w:t>
      </w:r>
    </w:p>
    <w:p>
      <w:pPr>
        <w:spacing w:line="520" w:lineRule="exact"/>
        <w:ind w:firstLine="560" w:firstLineChars="200"/>
        <w:rPr>
          <w:rFonts w:hint="eastAsia" w:ascii="仿宋" w:hAnsi="仿宋" w:eastAsia="仿宋" w:cs="仿宋"/>
          <w:color w:val="000000"/>
          <w:kern w:val="0"/>
          <w:sz w:val="28"/>
          <w:szCs w:val="28"/>
          <w:lang w:eastAsia="zh-CN"/>
        </w:rPr>
      </w:pPr>
      <w:r>
        <w:rPr>
          <w:rFonts w:hint="eastAsia" w:ascii="仿宋" w:hAnsi="仿宋" w:eastAsia="仿宋" w:cs="仿宋"/>
          <w:color w:val="000000"/>
          <w:kern w:val="0"/>
          <w:sz w:val="28"/>
          <w:szCs w:val="28"/>
        </w:rPr>
        <w:t>区治水办</w:t>
      </w:r>
      <w:r>
        <w:rPr>
          <w:rFonts w:hint="eastAsia" w:ascii="仿宋" w:hAnsi="仿宋" w:eastAsia="仿宋" w:cs="仿宋"/>
          <w:color w:val="000000"/>
          <w:kern w:val="0"/>
          <w:sz w:val="28"/>
          <w:szCs w:val="28"/>
          <w:lang w:eastAsia="zh-CN"/>
        </w:rPr>
        <w:t>牵总头，并组建</w:t>
      </w:r>
      <w:r>
        <w:rPr>
          <w:rFonts w:hint="eastAsia" w:ascii="仿宋" w:hAnsi="仿宋" w:eastAsia="仿宋" w:cs="仿宋"/>
          <w:color w:val="000000"/>
          <w:kern w:val="0"/>
          <w:sz w:val="28"/>
          <w:szCs w:val="28"/>
        </w:rPr>
        <w:t>“污水零直排区”建设工作技术组</w:t>
      </w:r>
      <w:r>
        <w:rPr>
          <w:rFonts w:hint="eastAsia" w:ascii="仿宋" w:hAnsi="仿宋" w:eastAsia="仿宋" w:cs="仿宋"/>
          <w:color w:val="000000"/>
          <w:kern w:val="0"/>
          <w:sz w:val="28"/>
          <w:szCs w:val="28"/>
          <w:lang w:eastAsia="zh-CN"/>
        </w:rPr>
        <w:t>，负责</w:t>
      </w:r>
      <w:r>
        <w:rPr>
          <w:rFonts w:hint="eastAsia" w:ascii="仿宋" w:hAnsi="仿宋" w:eastAsia="仿宋" w:cs="仿宋"/>
          <w:color w:val="000000"/>
          <w:kern w:val="0"/>
          <w:sz w:val="28"/>
          <w:szCs w:val="28"/>
        </w:rPr>
        <w:t>“污水零直排区”建设工作的指导、协调、督查、通报、考核</w:t>
      </w:r>
      <w:r>
        <w:rPr>
          <w:rFonts w:hint="eastAsia" w:ascii="仿宋" w:hAnsi="仿宋" w:eastAsia="仿宋" w:cs="仿宋"/>
          <w:color w:val="000000"/>
          <w:kern w:val="0"/>
          <w:sz w:val="28"/>
          <w:szCs w:val="28"/>
          <w:lang w:eastAsia="zh-CN"/>
        </w:rPr>
        <w:t>，以及技术保障等工作。</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仿宋" w:hAnsi="仿宋" w:eastAsia="仿宋" w:cs="仿宋"/>
          <w:color w:val="000000"/>
          <w:kern w:val="0"/>
          <w:sz w:val="28"/>
          <w:szCs w:val="28"/>
          <w:lang w:eastAsia="zh-CN"/>
        </w:rPr>
      </w:pPr>
      <w:r>
        <w:rPr>
          <w:rFonts w:hint="eastAsia" w:ascii="仿宋" w:hAnsi="仿宋" w:eastAsia="仿宋" w:cs="仿宋"/>
          <w:kern w:val="0"/>
          <w:sz w:val="28"/>
          <w:szCs w:val="28"/>
        </w:rPr>
        <w:t>各镇</w:t>
      </w:r>
      <w:r>
        <w:rPr>
          <w:rFonts w:hint="eastAsia" w:ascii="仿宋" w:hAnsi="仿宋" w:eastAsia="仿宋" w:cs="仿宋"/>
          <w:color w:val="000000"/>
          <w:kern w:val="0"/>
          <w:sz w:val="28"/>
          <w:szCs w:val="28"/>
        </w:rPr>
        <w:t>街、场（平台）是所辖区域“污水零直排区”建设的责任主体，负责本辖区建设方案制定和组织实施，</w:t>
      </w:r>
      <w:r>
        <w:rPr>
          <w:rFonts w:hint="eastAsia" w:ascii="仿宋" w:hAnsi="仿宋" w:eastAsia="仿宋" w:cs="仿宋"/>
          <w:color w:val="000000"/>
          <w:kern w:val="0"/>
          <w:sz w:val="28"/>
          <w:szCs w:val="28"/>
          <w:lang w:eastAsia="zh-CN"/>
        </w:rPr>
        <w:t>同时明确属地</w:t>
      </w:r>
      <w:r>
        <w:rPr>
          <w:rFonts w:hint="eastAsia" w:ascii="仿宋" w:hAnsi="仿宋" w:eastAsia="仿宋" w:cs="仿宋"/>
          <w:color w:val="000000"/>
          <w:kern w:val="0"/>
          <w:sz w:val="28"/>
          <w:szCs w:val="28"/>
        </w:rPr>
        <w:t>党政主要负责人为第一责任人</w:t>
      </w:r>
      <w:r>
        <w:rPr>
          <w:rFonts w:hint="eastAsia" w:ascii="仿宋" w:hAnsi="仿宋" w:eastAsia="仿宋" w:cs="仿宋"/>
          <w:color w:val="000000"/>
          <w:kern w:val="0"/>
          <w:sz w:val="28"/>
          <w:szCs w:val="28"/>
          <w:lang w:eastAsia="zh-CN"/>
        </w:rPr>
        <w:t>，要及时建立分工明确、行之有效的推进机制。</w:t>
      </w:r>
    </w:p>
    <w:p>
      <w:pPr>
        <w:spacing w:line="520" w:lineRule="exact"/>
        <w:ind w:firstLine="560" w:firstLineChars="200"/>
        <w:rPr>
          <w:rFonts w:hint="eastAsia" w:ascii="仿宋" w:hAnsi="仿宋" w:eastAsia="仿宋" w:cs="仿宋"/>
          <w:color w:val="000000"/>
          <w:kern w:val="0"/>
          <w:sz w:val="28"/>
          <w:szCs w:val="28"/>
          <w:lang w:eastAsia="zh-CN"/>
        </w:rPr>
      </w:pPr>
      <w:r>
        <w:rPr>
          <w:rFonts w:hint="eastAsia" w:ascii="仿宋" w:hAnsi="仿宋" w:eastAsia="仿宋" w:cs="仿宋"/>
          <w:color w:val="000000"/>
          <w:kern w:val="0"/>
          <w:sz w:val="28"/>
          <w:szCs w:val="28"/>
        </w:rPr>
        <w:t>区级有关部门负责牵头制订创建“污水零直排区”工作有关技术要求和标准，并做好指导协调和监督考核等工作。</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区住建局负责指导督促生活小区类“污水零直排区”建设工作，牵头做好项目推进及督查、复核等工作；协同完成各镇街、场（平台）“污水零直排区”创建任务；牵头农村生活污水治理设施运维管理和提标改造工作；制定农村生活污水治理设施提标改造三年行动计划；负责在老旧住宅小区改造中做好雨污分流工作；指导、协调和督促物业服务企业对住宅小区开展“污水零直排区”排查和建设工作，建立小区管网养护制度，做好养护工作，并配合开展验收。</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区城管局负责指导督促其它类“污水零直排区”建设工作；协同完成各镇街、场（平台）“污水零直排区”创建任务；</w:t>
      </w:r>
      <w:r>
        <w:rPr>
          <w:rFonts w:hint="eastAsia" w:ascii="仿宋" w:hAnsi="仿宋" w:eastAsia="仿宋" w:cs="仿宋"/>
          <w:color w:val="000000"/>
          <w:kern w:val="0"/>
          <w:sz w:val="28"/>
          <w:szCs w:val="28"/>
          <w:lang w:eastAsia="zh-CN"/>
        </w:rPr>
        <w:t>协助</w:t>
      </w:r>
      <w:r>
        <w:rPr>
          <w:rFonts w:hint="eastAsia" w:ascii="仿宋" w:hAnsi="仿宋" w:eastAsia="仿宋" w:cs="仿宋"/>
          <w:color w:val="000000"/>
          <w:kern w:val="0"/>
          <w:sz w:val="28"/>
          <w:szCs w:val="28"/>
        </w:rPr>
        <w:t>各镇街、场（平台）</w:t>
      </w:r>
      <w:r>
        <w:rPr>
          <w:rFonts w:hint="eastAsia" w:ascii="仿宋" w:hAnsi="仿宋" w:eastAsia="仿宋" w:cs="仿宋"/>
          <w:color w:val="000000"/>
          <w:kern w:val="0"/>
          <w:sz w:val="28"/>
          <w:szCs w:val="28"/>
          <w:lang w:eastAsia="zh-CN"/>
        </w:rPr>
        <w:t>做好城市河道管理范围内</w:t>
      </w:r>
      <w:r>
        <w:rPr>
          <w:rFonts w:hint="eastAsia" w:ascii="仿宋" w:hAnsi="仿宋" w:eastAsia="仿宋" w:cs="仿宋"/>
          <w:color w:val="000000"/>
          <w:kern w:val="0"/>
          <w:sz w:val="28"/>
          <w:szCs w:val="28"/>
        </w:rPr>
        <w:t>违法建筑拆除</w:t>
      </w:r>
      <w:r>
        <w:rPr>
          <w:rFonts w:hint="eastAsia" w:ascii="仿宋" w:hAnsi="仿宋" w:eastAsia="仿宋" w:cs="仿宋"/>
          <w:color w:val="000000"/>
          <w:kern w:val="0"/>
          <w:sz w:val="28"/>
          <w:szCs w:val="28"/>
          <w:lang w:eastAsia="zh-CN"/>
        </w:rPr>
        <w:t>工作；</w:t>
      </w:r>
      <w:r>
        <w:rPr>
          <w:rFonts w:hint="eastAsia" w:ascii="仿宋" w:hAnsi="仿宋" w:eastAsia="仿宋" w:cs="仿宋"/>
          <w:color w:val="000000"/>
          <w:kern w:val="0"/>
          <w:sz w:val="28"/>
          <w:szCs w:val="28"/>
        </w:rPr>
        <w:t>负责查处各类排水户违规排水行为，加大打击力度；</w:t>
      </w:r>
      <w:r>
        <w:rPr>
          <w:rFonts w:hint="eastAsia" w:ascii="仿宋" w:hAnsi="仿宋" w:eastAsia="仿宋" w:cs="仿宋"/>
          <w:color w:val="000000"/>
          <w:kern w:val="0"/>
          <w:sz w:val="28"/>
          <w:szCs w:val="28"/>
          <w:lang w:eastAsia="zh-CN"/>
        </w:rPr>
        <w:t>加大建筑工地违规排放污水查处力度</w:t>
      </w:r>
      <w:r>
        <w:rPr>
          <w:rFonts w:hint="eastAsia" w:ascii="仿宋" w:hAnsi="仿宋" w:eastAsia="仿宋" w:cs="仿宋"/>
          <w:color w:val="000000"/>
          <w:kern w:val="0"/>
          <w:sz w:val="28"/>
          <w:szCs w:val="28"/>
        </w:rPr>
        <w:t>，规范排水行为。</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区环保局负责指导督促工业园区（工业集聚区）类“污水零直排区”建设工作，牵头工业园区（工业集聚区）类“污水零直排区”建设的推进及督查、复核等工作；配合做好其它类“污水零直排区”建设工作；协同完成各镇街、场（平台）“污水零直排区”创建任务；负责工业企业污水进入排水管网前预处理设施的监督工作，加强对环评审批和排污许可证的批后监管，强化对工业企业污水预处理设施和工业污水集中处理设施的监督检查，依法查处工业企业违法违规排污行为。</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区农业局负责指导</w:t>
      </w:r>
      <w:r>
        <w:rPr>
          <w:rFonts w:hint="eastAsia" w:ascii="仿宋" w:hAnsi="仿宋" w:eastAsia="仿宋" w:cs="仿宋"/>
          <w:kern w:val="0"/>
          <w:sz w:val="28"/>
          <w:szCs w:val="28"/>
        </w:rPr>
        <w:t>和协调养殖场“污水零直排区”排查和建设工作，并配合开展验收；牵头负责畜禽养</w:t>
      </w:r>
      <w:r>
        <w:rPr>
          <w:rFonts w:hint="eastAsia" w:ascii="仿宋" w:hAnsi="仿宋" w:eastAsia="仿宋" w:cs="仿宋"/>
          <w:color w:val="000000"/>
          <w:kern w:val="0"/>
          <w:sz w:val="28"/>
          <w:szCs w:val="28"/>
        </w:rPr>
        <w:t>殖尾水生态化治理（改造）试点建设。</w:t>
      </w:r>
    </w:p>
    <w:p>
      <w:pPr>
        <w:spacing w:line="520" w:lineRule="exact"/>
        <w:ind w:firstLine="560" w:firstLineChars="200"/>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区发改局负责指导“污水零直排区”建设中建设项目的审批、核准、备案；指导和督促产业聚集区、重大产业基地开展“污水零直排区”排查和建设工作，并配合开展验收。</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 xml:space="preserve">区经信局负责指导和督促工业企业、信息产业园区和中小企业（乡镇企业）开展“污水零直排区”排查和建设工作，配合开展验收工作。 </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区教育局负责指导和督促直属学校（单位）“污水零直排区”排查和建设工作，指导和督促各镇街、平台开展其它各类学校、培训机构等开展“污水零直排区”排查和建设工作，并配合开展验收。</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区公安局负责指导和督促属地派出所开展“污水零直排区”排查和建设工作，并配合开展验收；在各镇街、场（平台）在开展“污水零直排区”创建过程中，提供执法支撑。</w:t>
      </w:r>
    </w:p>
    <w:p>
      <w:pPr>
        <w:spacing w:line="520" w:lineRule="exact"/>
        <w:ind w:firstLine="560" w:firstLineChars="200"/>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区科技局负责督促高新技术产业园区、高新技术特色产业基地等各类科技园区开展“污水零直排区”排查和建设工作，并配合开展验收；开展“污水零直排区”排查、处理设施和配套管网建设、相关设施运行维护等工作的技术保障。</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区财政局负责“污水零直排区”建设的资金保障工作，切实保障“污水零直排区”相关重点工程建设经费；做好“污水零直排区”建设资金监管工作，确保发挥财政资金的最大效益。</w:t>
      </w:r>
    </w:p>
    <w:p>
      <w:pPr>
        <w:spacing w:line="520" w:lineRule="exact"/>
        <w:ind w:firstLine="560" w:firstLineChars="200"/>
        <w:rPr>
          <w:rFonts w:hint="eastAsia" w:ascii="仿宋" w:hAnsi="仿宋" w:eastAsia="仿宋" w:cs="仿宋"/>
          <w:color w:val="auto"/>
          <w:kern w:val="0"/>
          <w:sz w:val="28"/>
          <w:szCs w:val="28"/>
          <w:lang w:val="en-US" w:eastAsia="zh-CN"/>
        </w:rPr>
      </w:pPr>
      <w:r>
        <w:rPr>
          <w:rFonts w:hint="eastAsia" w:ascii="仿宋" w:hAnsi="仿宋" w:eastAsia="仿宋" w:cs="仿宋"/>
          <w:color w:val="000000"/>
          <w:kern w:val="0"/>
          <w:sz w:val="28"/>
          <w:szCs w:val="28"/>
        </w:rPr>
        <w:t>区国土资源局负责优先保障“污水零直排区”建设工程用地</w:t>
      </w:r>
      <w:r>
        <w:rPr>
          <w:rFonts w:hint="eastAsia" w:ascii="仿宋" w:hAnsi="仿宋" w:eastAsia="仿宋" w:cs="仿宋"/>
          <w:color w:val="000000"/>
          <w:kern w:val="0"/>
          <w:sz w:val="28"/>
          <w:szCs w:val="28"/>
          <w:lang w:eastAsia="zh-CN"/>
        </w:rPr>
        <w:t>。</w:t>
      </w:r>
    </w:p>
    <w:p>
      <w:pPr>
        <w:spacing w:line="520" w:lineRule="exact"/>
        <w:ind w:firstLine="560" w:firstLineChars="200"/>
        <w:rPr>
          <w:rFonts w:hint="eastAsia" w:ascii="仿宋" w:hAnsi="仿宋" w:eastAsia="仿宋" w:cs="仿宋"/>
          <w:color w:val="auto"/>
          <w:kern w:val="0"/>
          <w:sz w:val="28"/>
          <w:szCs w:val="28"/>
        </w:rPr>
      </w:pPr>
      <w:r>
        <w:rPr>
          <w:rFonts w:hint="eastAsia" w:ascii="仿宋" w:hAnsi="仿宋" w:eastAsia="仿宋" w:cs="仿宋"/>
          <w:color w:val="000000"/>
          <w:kern w:val="0"/>
          <w:sz w:val="28"/>
          <w:szCs w:val="28"/>
        </w:rPr>
        <w:t>区交通运输局负责指导督促港口码</w:t>
      </w:r>
      <w:r>
        <w:rPr>
          <w:rFonts w:hint="eastAsia" w:ascii="仿宋" w:hAnsi="仿宋" w:eastAsia="仿宋" w:cs="仿宋"/>
          <w:color w:val="auto"/>
          <w:kern w:val="0"/>
          <w:sz w:val="28"/>
          <w:szCs w:val="28"/>
        </w:rPr>
        <w:t>头、船舶锚泊服务区、高速</w:t>
      </w:r>
      <w:r>
        <w:rPr>
          <w:rFonts w:hint="eastAsia" w:ascii="仿宋" w:hAnsi="仿宋" w:eastAsia="仿宋" w:cs="仿宋"/>
          <w:color w:val="auto"/>
          <w:kern w:val="0"/>
          <w:sz w:val="28"/>
          <w:szCs w:val="28"/>
          <w:lang w:eastAsia="zh-CN"/>
        </w:rPr>
        <w:t>和地方</w:t>
      </w:r>
      <w:r>
        <w:rPr>
          <w:rFonts w:hint="eastAsia" w:ascii="仿宋" w:hAnsi="仿宋" w:eastAsia="仿宋" w:cs="仿宋"/>
          <w:color w:val="auto"/>
          <w:kern w:val="0"/>
          <w:sz w:val="28"/>
          <w:szCs w:val="28"/>
        </w:rPr>
        <w:t>公路</w:t>
      </w:r>
      <w:r>
        <w:rPr>
          <w:rFonts w:hint="eastAsia" w:ascii="仿宋" w:hAnsi="仿宋" w:eastAsia="仿宋" w:cs="仿宋"/>
          <w:color w:val="auto"/>
          <w:kern w:val="0"/>
          <w:sz w:val="28"/>
          <w:szCs w:val="28"/>
          <w:lang w:eastAsia="zh-CN"/>
        </w:rPr>
        <w:t>收费站</w:t>
      </w:r>
      <w:r>
        <w:rPr>
          <w:rFonts w:hint="eastAsia" w:ascii="仿宋" w:hAnsi="仿宋" w:eastAsia="仿宋" w:cs="仿宋"/>
          <w:color w:val="auto"/>
          <w:kern w:val="0"/>
          <w:sz w:val="28"/>
          <w:szCs w:val="28"/>
        </w:rPr>
        <w:t>、客运场站、汽车维修等业主单位开展“污水零直排区”排查和建设工作，并配合开展验收。</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auto"/>
          <w:kern w:val="0"/>
          <w:sz w:val="28"/>
          <w:szCs w:val="28"/>
        </w:rPr>
        <w:t>区农水局牵头入河（湖库）排污（水）口整治工作，实现入河（湖库）排污（水）口身份证式管理</w:t>
      </w:r>
      <w:r>
        <w:rPr>
          <w:rFonts w:hint="eastAsia" w:ascii="仿宋" w:hAnsi="仿宋" w:eastAsia="仿宋" w:cs="仿宋"/>
          <w:color w:val="auto"/>
          <w:kern w:val="0"/>
          <w:sz w:val="28"/>
          <w:szCs w:val="28"/>
          <w:shd w:val="clear" w:color="auto" w:fill="auto"/>
          <w:lang w:eastAsia="zh-CN"/>
        </w:rPr>
        <w:t>（工业企业排污口需由区环保局进行审核、登记后，告知区农水局）</w:t>
      </w:r>
      <w:r>
        <w:rPr>
          <w:rFonts w:hint="eastAsia" w:ascii="仿宋" w:hAnsi="仿宋" w:eastAsia="仿宋" w:cs="仿宋"/>
          <w:color w:val="auto"/>
          <w:kern w:val="0"/>
          <w:sz w:val="28"/>
          <w:szCs w:val="28"/>
          <w:shd w:val="clear" w:color="auto" w:fill="auto"/>
        </w:rPr>
        <w:t>；负责绕城外入河（湖库）排污（水）口的排查和标识设置，</w:t>
      </w:r>
      <w:r>
        <w:rPr>
          <w:rFonts w:hint="eastAsia" w:ascii="仿宋" w:hAnsi="仿宋" w:eastAsia="仿宋" w:cs="仿宋"/>
          <w:color w:val="auto"/>
          <w:kern w:val="0"/>
          <w:sz w:val="28"/>
          <w:szCs w:val="28"/>
          <w:shd w:val="clear" w:color="auto" w:fill="auto"/>
          <w:lang w:eastAsia="zh-CN"/>
        </w:rPr>
        <w:t>依法查处</w:t>
      </w:r>
      <w:r>
        <w:rPr>
          <w:rFonts w:hint="eastAsia" w:ascii="仿宋" w:hAnsi="仿宋" w:eastAsia="仿宋" w:cs="仿宋"/>
          <w:color w:val="auto"/>
          <w:kern w:val="0"/>
          <w:sz w:val="28"/>
          <w:szCs w:val="28"/>
          <w:shd w:val="clear" w:color="auto" w:fill="auto"/>
        </w:rPr>
        <w:t>河道</w:t>
      </w:r>
      <w:r>
        <w:rPr>
          <w:rFonts w:hint="eastAsia" w:ascii="仿宋" w:hAnsi="仿宋" w:eastAsia="仿宋" w:cs="仿宋"/>
          <w:color w:val="000000"/>
          <w:kern w:val="0"/>
          <w:sz w:val="28"/>
          <w:szCs w:val="28"/>
        </w:rPr>
        <w:t>管理范围内的违法建筑，加强新、改、扩建城镇污水处理设施的入河（湖库）排污（水）口设置审核，依法查处建设单位设置的、未经水政主管部门审核同意的入河（湖库）排污（水）口</w:t>
      </w:r>
      <w:r>
        <w:rPr>
          <w:rFonts w:hint="eastAsia" w:ascii="仿宋" w:hAnsi="仿宋" w:eastAsia="仿宋" w:cs="仿宋"/>
          <w:color w:val="000000"/>
          <w:kern w:val="0"/>
          <w:sz w:val="28"/>
          <w:szCs w:val="28"/>
          <w:lang w:eastAsia="zh-CN"/>
        </w:rPr>
        <w:t>；</w:t>
      </w:r>
      <w:r>
        <w:rPr>
          <w:rFonts w:hint="eastAsia" w:ascii="仿宋" w:hAnsi="仿宋" w:eastAsia="仿宋" w:cs="仿宋"/>
          <w:color w:val="auto"/>
          <w:kern w:val="0"/>
          <w:sz w:val="28"/>
          <w:szCs w:val="28"/>
        </w:rPr>
        <w:t>配合“污水零直排区”建设提供地下水监测相关信息</w:t>
      </w:r>
      <w:r>
        <w:rPr>
          <w:rFonts w:hint="eastAsia" w:ascii="仿宋" w:hAnsi="仿宋" w:eastAsia="仿宋" w:cs="仿宋"/>
          <w:color w:val="000000"/>
          <w:kern w:val="0"/>
          <w:sz w:val="28"/>
          <w:szCs w:val="28"/>
        </w:rPr>
        <w:t>。</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区商务局负责指导和督促小餐饮、足浴保健、美容美发、洗衣等小行业以及农贸市场、海关特殊监管区、屠宰场开展“污水零直排区”排查和建设工作，并配合开展验收。</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区卫计局负责指导和督促医疗卫生机构开展“污水零直排区”排查和建设工作，加强各类医疗污水、废液的规范处置管理，并配合开展验收。</w:t>
      </w:r>
    </w:p>
    <w:p>
      <w:pPr>
        <w:spacing w:line="520" w:lineRule="exact"/>
        <w:ind w:firstLine="560" w:firstLineChars="200"/>
        <w:rPr>
          <w:rFonts w:hint="eastAsia" w:ascii="仿宋" w:hAnsi="仿宋" w:eastAsia="仿宋" w:cs="仿宋"/>
          <w:color w:val="auto"/>
          <w:kern w:val="0"/>
          <w:sz w:val="28"/>
          <w:szCs w:val="28"/>
        </w:rPr>
      </w:pPr>
      <w:r>
        <w:rPr>
          <w:rFonts w:hint="eastAsia" w:ascii="仿宋" w:hAnsi="仿宋" w:eastAsia="仿宋" w:cs="仿宋"/>
          <w:color w:val="000000"/>
          <w:kern w:val="0"/>
          <w:sz w:val="28"/>
          <w:szCs w:val="28"/>
        </w:rPr>
        <w:t>区市场监管局负责指</w:t>
      </w:r>
      <w:r>
        <w:rPr>
          <w:rFonts w:hint="eastAsia" w:ascii="仿宋" w:hAnsi="仿宋" w:eastAsia="仿宋" w:cs="仿宋"/>
          <w:color w:val="auto"/>
          <w:kern w:val="0"/>
          <w:sz w:val="28"/>
          <w:szCs w:val="28"/>
        </w:rPr>
        <w:t>导和督促各类个体工商户和私营企业等开展“污水零直排区”排查和建设工作，并配合开展验收。拟将各类企业、工商户等排水户的“违法排污”行为纳入征信体系，引导企业、工商户自觉规范污水排放行为。</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区旅游局负责指导和督促星级饭店和A级旅游景区等开展“污水零直排区”排查和建设工作，并配合开展验收。</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区规划分局会同区住建局、区环境集团等部门开展萧山区污水专项规划实施评估，并与城市总体规划等相关规划结合做好污水系统布局优化研究，修编萧山区污水工程专业规划；为建设行动提供测绘地理信息技术保障，对排水管网信息化建设提供地理信息公共服务平台支撑。</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color w:val="000000"/>
          <w:kern w:val="0"/>
          <w:sz w:val="28"/>
          <w:szCs w:val="28"/>
        </w:rPr>
        <w:t>区环境集团负责市政污水管网运行和养护工作，会同各镇街、场（平台）做好混接点核实和整改核定等工作，对主、次干管及污水收集支管的混接点进行动态排查；</w:t>
      </w:r>
      <w:r>
        <w:rPr>
          <w:rFonts w:hint="eastAsia" w:ascii="仿宋" w:hAnsi="仿宋" w:eastAsia="仿宋" w:cs="仿宋"/>
          <w:kern w:val="0"/>
          <w:sz w:val="28"/>
          <w:szCs w:val="28"/>
        </w:rPr>
        <w:t>牵头临江和钱江污水厂污水系统运行调度、市政管网管理维护；</w:t>
      </w:r>
      <w:r>
        <w:rPr>
          <w:rFonts w:hint="eastAsia" w:ascii="仿宋" w:hAnsi="仿宋" w:eastAsia="仿宋" w:cs="仿宋"/>
          <w:color w:val="000000"/>
          <w:kern w:val="0"/>
          <w:sz w:val="28"/>
          <w:szCs w:val="28"/>
        </w:rPr>
        <w:t>做好拆迁地区污水排放核查工作，确保无雨水、河水进入</w:t>
      </w:r>
      <w:r>
        <w:rPr>
          <w:rFonts w:hint="eastAsia" w:ascii="仿宋" w:hAnsi="仿宋" w:eastAsia="仿宋" w:cs="仿宋"/>
          <w:kern w:val="0"/>
          <w:sz w:val="28"/>
          <w:szCs w:val="28"/>
        </w:rPr>
        <w:t>污水系统；</w:t>
      </w:r>
      <w:r>
        <w:rPr>
          <w:rFonts w:hint="eastAsia" w:ascii="仿宋" w:hAnsi="仿宋" w:eastAsia="仿宋" w:cs="仿宋"/>
          <w:kern w:val="0"/>
          <w:sz w:val="28"/>
          <w:szCs w:val="28"/>
          <w:lang w:eastAsia="zh-CN"/>
        </w:rPr>
        <w:t>配合</w:t>
      </w:r>
      <w:r>
        <w:rPr>
          <w:rFonts w:hint="eastAsia" w:ascii="仿宋" w:hAnsi="仿宋" w:eastAsia="仿宋" w:cs="仿宋"/>
          <w:kern w:val="0"/>
          <w:sz w:val="28"/>
          <w:szCs w:val="28"/>
        </w:rPr>
        <w:t>做好污水处理厂提标改造及尾水再生利用</w:t>
      </w:r>
      <w:r>
        <w:rPr>
          <w:rFonts w:hint="eastAsia" w:ascii="仿宋" w:hAnsi="仿宋" w:eastAsia="仿宋" w:cs="仿宋"/>
          <w:kern w:val="0"/>
          <w:sz w:val="28"/>
          <w:szCs w:val="28"/>
          <w:lang w:eastAsia="zh-CN"/>
        </w:rPr>
        <w:t>工作</w:t>
      </w:r>
      <w:r>
        <w:rPr>
          <w:rFonts w:hint="eastAsia" w:ascii="仿宋" w:hAnsi="仿宋" w:eastAsia="仿宋" w:cs="仿宋"/>
          <w:kern w:val="0"/>
          <w:sz w:val="28"/>
          <w:szCs w:val="28"/>
        </w:rPr>
        <w:t>，</w:t>
      </w:r>
      <w:r>
        <w:rPr>
          <w:rFonts w:hint="eastAsia" w:ascii="仿宋" w:hAnsi="仿宋" w:eastAsia="仿宋" w:cs="仿宋"/>
          <w:kern w:val="0"/>
          <w:sz w:val="28"/>
          <w:szCs w:val="28"/>
          <w:lang w:eastAsia="zh-CN"/>
        </w:rPr>
        <w:t>并</w:t>
      </w:r>
      <w:r>
        <w:rPr>
          <w:rFonts w:hint="eastAsia" w:ascii="仿宋" w:hAnsi="仿宋" w:eastAsia="仿宋" w:cs="仿宋"/>
          <w:kern w:val="0"/>
          <w:sz w:val="28"/>
          <w:szCs w:val="28"/>
        </w:rPr>
        <w:t>开展所属管线雨污</w:t>
      </w:r>
      <w:r>
        <w:rPr>
          <w:rFonts w:hint="eastAsia" w:ascii="仿宋" w:hAnsi="仿宋" w:eastAsia="仿宋" w:cs="仿宋"/>
          <w:color w:val="auto"/>
          <w:kern w:val="0"/>
          <w:sz w:val="28"/>
          <w:szCs w:val="28"/>
        </w:rPr>
        <w:t>分流和截污纳管的提升改造；制定污水处理厂扩建三年行动计划；</w:t>
      </w:r>
      <w:r>
        <w:rPr>
          <w:rFonts w:hint="eastAsia" w:ascii="仿宋" w:hAnsi="仿宋" w:eastAsia="仿宋" w:cs="仿宋"/>
          <w:color w:val="auto"/>
          <w:kern w:val="0"/>
          <w:sz w:val="28"/>
          <w:szCs w:val="28"/>
          <w:lang w:eastAsia="zh-CN"/>
        </w:rPr>
        <w:t>配合</w:t>
      </w:r>
      <w:r>
        <w:rPr>
          <w:rFonts w:hint="eastAsia" w:ascii="仿宋" w:hAnsi="仿宋" w:eastAsia="仿宋" w:cs="仿宋"/>
          <w:color w:val="auto"/>
          <w:kern w:val="0"/>
          <w:sz w:val="28"/>
          <w:szCs w:val="28"/>
        </w:rPr>
        <w:t>督促指导各镇街、场（平台）排水管网信息化管理系统的建设和维护、</w:t>
      </w:r>
      <w:r>
        <w:rPr>
          <w:rFonts w:hint="eastAsia" w:ascii="仿宋" w:hAnsi="仿宋" w:eastAsia="仿宋" w:cs="仿宋"/>
          <w:kern w:val="0"/>
          <w:sz w:val="28"/>
          <w:szCs w:val="28"/>
        </w:rPr>
        <w:t>“污水零直排”长效运维管理机制建立、排水许可证的核发和管理等工作；指导各镇街、场（平台）开展相关改造项目设计审查、质量监督和项目验收等工作；</w:t>
      </w:r>
      <w:r>
        <w:rPr>
          <w:rFonts w:hint="eastAsia" w:ascii="仿宋" w:hAnsi="仿宋" w:eastAsia="仿宋" w:cs="仿宋"/>
          <w:kern w:val="0"/>
          <w:sz w:val="28"/>
          <w:szCs w:val="28"/>
          <w:lang w:eastAsia="zh-CN"/>
        </w:rPr>
        <w:t>配合</w:t>
      </w:r>
      <w:r>
        <w:rPr>
          <w:rFonts w:hint="eastAsia" w:ascii="仿宋" w:hAnsi="仿宋" w:eastAsia="仿宋" w:cs="仿宋"/>
          <w:kern w:val="0"/>
          <w:sz w:val="28"/>
          <w:szCs w:val="28"/>
        </w:rPr>
        <w:t>制订雨污分流改造三年行动计划。</w:t>
      </w:r>
    </w:p>
    <w:p>
      <w:pPr>
        <w:pStyle w:val="8"/>
        <w:spacing w:line="520" w:lineRule="exact"/>
        <w:ind w:firstLine="602"/>
        <w:rPr>
          <w:rFonts w:hint="eastAsia" w:ascii="仿宋" w:hAnsi="仿宋" w:eastAsia="仿宋" w:cs="仿宋"/>
          <w:b/>
          <w:color w:val="000000"/>
          <w:kern w:val="0"/>
          <w:sz w:val="28"/>
          <w:szCs w:val="28"/>
          <w:lang w:val="en-US" w:eastAsia="zh-CN"/>
        </w:rPr>
      </w:pPr>
      <w:r>
        <w:rPr>
          <w:rFonts w:hint="eastAsia" w:ascii="仿宋" w:hAnsi="仿宋" w:eastAsia="仿宋" w:cs="仿宋"/>
          <w:b/>
          <w:color w:val="000000"/>
          <w:kern w:val="0"/>
          <w:sz w:val="28"/>
          <w:szCs w:val="28"/>
          <w:lang w:val="en-US" w:eastAsia="zh-CN"/>
        </w:rPr>
        <w:t>五、资金保障</w:t>
      </w:r>
    </w:p>
    <w:p>
      <w:pPr>
        <w:numPr>
          <w:ilvl w:val="0"/>
          <w:numId w:val="0"/>
        </w:numPr>
        <w:spacing w:line="520" w:lineRule="exact"/>
        <w:ind w:firstLine="6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工作经费按项目类型多渠道筹措，分情况落实：</w:t>
      </w:r>
    </w:p>
    <w:p>
      <w:pPr>
        <w:numPr>
          <w:ilvl w:val="0"/>
          <w:numId w:val="0"/>
        </w:numPr>
        <w:spacing w:line="520" w:lineRule="exact"/>
        <w:ind w:firstLine="560" w:firstLineChars="2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一）凡自营性质的工商企业、区属机关事业单位、非区属机关事业单位（包含移动、电信等）、区属公益类设施、八小行业、2011年12月31日以后交付的住宅小区、商住小区(含写字楼)的雨污管网改造经费，按照“谁受益，谁负责”的原则，由各业主单位（开发商）自行承担。如2011年12月31日以后交付的住宅小区、商住小区(含写字楼)，无法找到开发商的，由各镇街（场）、平台作为实施主体，列出清单后提交区五水办，进行一事一议；</w:t>
      </w:r>
    </w:p>
    <w:p>
      <w:pPr>
        <w:numPr>
          <w:ilvl w:val="0"/>
          <w:numId w:val="0"/>
        </w:numPr>
        <w:spacing w:line="520" w:lineRule="exact"/>
        <w:ind w:firstLine="6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（二）市政雨水管网的排查与整改经费与老旧小区改造中包含的雨污分流改造年度任务经费，按原有渠道和程序，由区住建局承担，区财政予以保障。</w:t>
      </w:r>
    </w:p>
    <w:p>
      <w:pPr>
        <w:numPr>
          <w:ilvl w:val="0"/>
          <w:numId w:val="0"/>
        </w:numPr>
        <w:spacing w:line="520" w:lineRule="exact"/>
        <w:ind w:firstLine="6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（三）市政污水管网的排查与整改经费，由区环境集团保障；</w:t>
      </w:r>
    </w:p>
    <w:p>
      <w:pPr>
        <w:numPr>
          <w:ilvl w:val="0"/>
          <w:numId w:val="0"/>
        </w:numPr>
        <w:spacing w:line="520" w:lineRule="exact"/>
        <w:ind w:firstLine="6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（四）列入小城镇环境整治范围内的排水单元雨污分流改造经费按原有渠道和程序由相应街道的小城镇环境整治项目经费统一保障；</w:t>
      </w:r>
    </w:p>
    <w:p>
      <w:pPr>
        <w:numPr>
          <w:ilvl w:val="0"/>
          <w:numId w:val="0"/>
        </w:numPr>
        <w:spacing w:line="520" w:lineRule="exact"/>
        <w:ind w:firstLine="6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（五）城镇工业集聚区、2011年12月31日前交付的住宅小区、商住小区(含写字楼)的雨污管网排查与整改经费，均由属地各镇街（场）、平台承担，区财政按照</w:t>
      </w:r>
      <w:r>
        <w:rPr>
          <w:rFonts w:hint="eastAsia" w:ascii="仿宋" w:hAnsi="仿宋" w:eastAsia="仿宋" w:cs="仿宋"/>
          <w:sz w:val="28"/>
          <w:szCs w:val="28"/>
          <w:shd w:val="clear" w:color="auto" w:fill="FFFFFF"/>
          <w:lang w:eastAsia="zh-CN"/>
        </w:rPr>
        <w:t>“污水零直排”镇街创建验收时间节点，按照比例予以保障。</w:t>
      </w:r>
    </w:p>
    <w:p>
      <w:pPr>
        <w:numPr>
          <w:ilvl w:val="0"/>
          <w:numId w:val="0"/>
        </w:numPr>
        <w:spacing w:line="520" w:lineRule="exact"/>
        <w:ind w:firstLine="6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（六）“污水零直排”信息化系统（含排查目录库、地下雨污管网数字平台等）的建设费用由区环境集团统筹解决，区财政予以全额保障。</w:t>
      </w:r>
    </w:p>
    <w:p>
      <w:pPr>
        <w:numPr>
          <w:ilvl w:val="0"/>
          <w:numId w:val="0"/>
        </w:numPr>
        <w:spacing w:line="520" w:lineRule="exact"/>
        <w:ind w:firstLine="6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（七）</w:t>
      </w:r>
      <w:r>
        <w:rPr>
          <w:rFonts w:hint="eastAsia" w:ascii="仿宋" w:hAnsi="仿宋" w:eastAsia="仿宋" w:cs="仿宋_GB2312"/>
          <w:sz w:val="30"/>
          <w:szCs w:val="30"/>
          <w:shd w:val="clear" w:color="auto" w:fill="FFFFFF"/>
          <w:lang w:eastAsia="zh-CN"/>
        </w:rPr>
        <w:t>“零直排镇街”创建工作，按照省市“污水零直排区”验收时间节点，区财政予以适当补助：</w:t>
      </w:r>
      <w:r>
        <w:rPr>
          <w:rFonts w:hint="eastAsia" w:ascii="仿宋" w:hAnsi="仿宋" w:eastAsia="仿宋" w:cs="仿宋_GB2312"/>
          <w:sz w:val="30"/>
          <w:szCs w:val="30"/>
          <w:shd w:val="clear" w:color="auto" w:fill="FFFFFF"/>
          <w:lang w:val="en-US" w:eastAsia="zh-CN"/>
        </w:rPr>
        <w:t>2018年度被列为试点对象并在当年完成整治的镇街，予以补助85%；2019年度被列为试点对象并在当年完成整治的镇街，予以补助80%；2020年被列为试点对象并在当年完成整治的镇街，予以补助70%；2021年被列为试点对象并在当年完成整治的镇街，予以补助60%。上述所有差额部分，均由镇街（场）、平台自行支出。按照省市创建验收时间节点，原则上，2018年需创建1个“污水零直排”试点镇街；2019年需创建9个“污水零直排”镇街；2020年需创建8个“污水零直排”镇街；2021年，剩余镇街必须完成“污水零直排”镇街的创建工作，做到全区全覆盖。</w:t>
      </w:r>
    </w:p>
    <w:p>
      <w:pPr>
        <w:pStyle w:val="8"/>
        <w:spacing w:line="520" w:lineRule="exact"/>
        <w:ind w:firstLine="602"/>
        <w:rPr>
          <w:rFonts w:hint="eastAsia" w:ascii="仿宋" w:hAnsi="仿宋" w:eastAsia="仿宋" w:cs="仿宋"/>
          <w:b/>
          <w:color w:val="000000"/>
          <w:kern w:val="0"/>
          <w:sz w:val="28"/>
          <w:szCs w:val="28"/>
        </w:rPr>
      </w:pPr>
      <w:r>
        <w:rPr>
          <w:rFonts w:hint="eastAsia" w:ascii="仿宋" w:hAnsi="仿宋" w:eastAsia="仿宋" w:cs="仿宋"/>
          <w:b/>
          <w:color w:val="000000"/>
          <w:kern w:val="0"/>
          <w:sz w:val="28"/>
          <w:szCs w:val="28"/>
          <w:lang w:eastAsia="zh-CN"/>
        </w:rPr>
        <w:t>六</w:t>
      </w:r>
      <w:r>
        <w:rPr>
          <w:rFonts w:hint="eastAsia" w:ascii="仿宋" w:hAnsi="仿宋" w:eastAsia="仿宋" w:cs="仿宋"/>
          <w:b/>
          <w:color w:val="000000"/>
          <w:kern w:val="0"/>
          <w:sz w:val="28"/>
          <w:szCs w:val="28"/>
        </w:rPr>
        <w:t>、工作要求</w:t>
      </w:r>
    </w:p>
    <w:p>
      <w:pPr>
        <w:pStyle w:val="9"/>
        <w:spacing w:line="520" w:lineRule="exact"/>
        <w:ind w:firstLine="602"/>
        <w:rPr>
          <w:rFonts w:hint="eastAsia" w:ascii="仿宋" w:hAnsi="仿宋" w:eastAsia="仿宋" w:cs="仿宋"/>
          <w:b/>
          <w:bCs/>
          <w:kern w:val="0"/>
          <w:sz w:val="28"/>
          <w:szCs w:val="28"/>
        </w:rPr>
      </w:pPr>
      <w:r>
        <w:rPr>
          <w:rFonts w:hint="eastAsia" w:ascii="仿宋" w:hAnsi="仿宋" w:eastAsia="仿宋" w:cs="仿宋"/>
          <w:b/>
          <w:bCs/>
          <w:kern w:val="0"/>
          <w:sz w:val="28"/>
          <w:szCs w:val="28"/>
        </w:rPr>
        <w:t>（一）加强组织领导</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污水零直排区”建设行动是当前及今后几年深入推进“五水共治”的重点工作，是改善全区水环境质量的关键举措，是防止水质反弹的治本之策，各镇街、场（平台）要高度重视，加强组织领导，切实抓出成效。区住建局、区城管局、区环保局、区农业局、区发改委、区经信局、区教育局、区科技局、区财政局、区国土资源局、区公安局、区交通运输局、区农水局、区商务局、区卫计局、区市场监管局、区旅游局、区规划分局、区环境集团等有关部门要各司其职，各负其责，密切协作，协同推进。</w:t>
      </w:r>
    </w:p>
    <w:p>
      <w:pPr>
        <w:pStyle w:val="9"/>
        <w:spacing w:line="520" w:lineRule="exact"/>
        <w:ind w:firstLine="602"/>
        <w:rPr>
          <w:rFonts w:hint="eastAsia" w:ascii="仿宋" w:hAnsi="仿宋" w:eastAsia="仿宋" w:cs="仿宋"/>
          <w:b/>
          <w:bCs/>
          <w:kern w:val="0"/>
          <w:sz w:val="28"/>
          <w:szCs w:val="28"/>
        </w:rPr>
      </w:pPr>
      <w:r>
        <w:rPr>
          <w:rFonts w:hint="eastAsia" w:ascii="仿宋" w:hAnsi="仿宋" w:eastAsia="仿宋" w:cs="仿宋"/>
          <w:b/>
          <w:bCs/>
          <w:kern w:val="0"/>
          <w:sz w:val="28"/>
          <w:szCs w:val="28"/>
        </w:rPr>
        <w:t>（二）精心组织实施</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各镇街、场（平台）要精心安排、周密部署、细化要求、明确分工，确保建设工作有序有效推进。各镇街、场（平台）治水办要牵头制定辖区内建设方案，督促指导相关单位科学编制“污水零直排区”建设实施方案或整改方案，并形成问题清单、任务清单、项目清单、责任清单，逐项制定整改计划。坚持规划引领，在污水管网和处理设施建设布局上要区域统筹协调。坚持部门协同，特别是在“散、乱、污”行业整治工作中要多措并举，形成合力。坚持打组合拳，建设工作与“三改一拆”、小城镇环境综合整治、美丽乡村建设等多管齐下。</w:t>
      </w:r>
    </w:p>
    <w:p>
      <w:pPr>
        <w:pStyle w:val="9"/>
        <w:spacing w:line="520" w:lineRule="exact"/>
        <w:ind w:firstLine="602"/>
        <w:rPr>
          <w:rFonts w:hint="eastAsia" w:ascii="仿宋" w:hAnsi="仿宋" w:eastAsia="仿宋" w:cs="仿宋"/>
          <w:b/>
          <w:bCs/>
          <w:kern w:val="0"/>
          <w:sz w:val="28"/>
          <w:szCs w:val="28"/>
        </w:rPr>
      </w:pPr>
      <w:r>
        <w:rPr>
          <w:rFonts w:hint="eastAsia" w:ascii="仿宋" w:hAnsi="仿宋" w:eastAsia="仿宋" w:cs="仿宋"/>
          <w:b/>
          <w:bCs/>
          <w:kern w:val="0"/>
          <w:sz w:val="28"/>
          <w:szCs w:val="28"/>
        </w:rPr>
        <w:t>（三）落实要素保障</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建立政府引导、市场推动、社会参与的投融资机制，各级财政要加大资金支持和保障力度。结合“最多跑一次”审批制度改革，对建设项目开通绿色通道，加快审批流程。强化技术保障，各镇街、场（平台）治水办要成立建设工作技术组，积极引进第三方力量开展建设，大力推广使用排水管道电视检测等探测技术，结合海绵城市建设工作，切实加强对设计、施工、监理、长效运维等单位的监督监管。各地要牢固树立质量第一的意识，严格落实工程建设相关标准与验收要求，确保把建设工程做成放心优质工程。</w:t>
      </w:r>
    </w:p>
    <w:p>
      <w:pPr>
        <w:pStyle w:val="9"/>
        <w:spacing w:line="520" w:lineRule="exact"/>
        <w:ind w:firstLine="602"/>
        <w:rPr>
          <w:rFonts w:hint="eastAsia" w:ascii="仿宋" w:hAnsi="仿宋" w:eastAsia="仿宋" w:cs="仿宋"/>
          <w:b/>
          <w:bCs/>
          <w:kern w:val="0"/>
          <w:sz w:val="28"/>
          <w:szCs w:val="28"/>
        </w:rPr>
      </w:pPr>
      <w:r>
        <w:rPr>
          <w:rFonts w:hint="eastAsia" w:ascii="仿宋" w:hAnsi="仿宋" w:eastAsia="仿宋" w:cs="仿宋"/>
          <w:b/>
          <w:bCs/>
          <w:kern w:val="0"/>
          <w:sz w:val="28"/>
          <w:szCs w:val="28"/>
        </w:rPr>
        <w:t>（四）强化督查考核</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将“污水零直排区”建设作为区级各部门相关督查的重点内容，对建设工作组织、进度、质量、成效等进行全方位多层次督查。区治水办要加强对辖区“污水零直排区”建设工作的督促、检查和指导，对工作不力、进展缓慢的地区要切实加强督查督办。建立健全督查考核机制，把“污水零直排区”建设工作纳入“五水共治”重点考核内容。</w:t>
      </w:r>
    </w:p>
    <w:p>
      <w:pPr>
        <w:pStyle w:val="9"/>
        <w:spacing w:line="520" w:lineRule="exact"/>
        <w:ind w:firstLine="602"/>
        <w:rPr>
          <w:rFonts w:hint="eastAsia" w:ascii="仿宋" w:hAnsi="仿宋" w:eastAsia="仿宋" w:cs="仿宋"/>
          <w:b/>
          <w:bCs/>
          <w:kern w:val="0"/>
          <w:sz w:val="28"/>
          <w:szCs w:val="28"/>
        </w:rPr>
      </w:pPr>
      <w:r>
        <w:rPr>
          <w:rFonts w:hint="eastAsia" w:ascii="仿宋" w:hAnsi="仿宋" w:eastAsia="仿宋" w:cs="仿宋"/>
          <w:b/>
          <w:bCs/>
          <w:kern w:val="0"/>
          <w:sz w:val="28"/>
          <w:szCs w:val="28"/>
        </w:rPr>
        <w:t>（五）落实长效管理</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建立雨、污水管网长效管理机制，落实监管和养护人员，确定管理和养护职责。落实养护经费，确定各类“污水零直排”设施养护定额，明确生活小区类经费保障。通过排水管网信息化管理系统，对管网改迁、设施移交、业态调整、水量变化等信息进行动态监管。建立排水管理、养护、执法“三合一”联动机制，结合河长制、湖长制，及时发现并查处违章排水行为。落实其他类排水许可批后监管责任，按照排水户批后监管要求开展定期水质监测和雨污分流检查工作。</w:t>
      </w:r>
    </w:p>
    <w:p>
      <w:pPr>
        <w:pStyle w:val="9"/>
        <w:spacing w:line="520" w:lineRule="exact"/>
        <w:ind w:firstLine="602"/>
        <w:rPr>
          <w:rFonts w:hint="eastAsia" w:ascii="仿宋" w:hAnsi="仿宋" w:eastAsia="仿宋" w:cs="仿宋"/>
          <w:b/>
          <w:bCs/>
          <w:kern w:val="0"/>
          <w:sz w:val="28"/>
          <w:szCs w:val="28"/>
        </w:rPr>
      </w:pPr>
      <w:r>
        <w:rPr>
          <w:rFonts w:hint="eastAsia" w:ascii="仿宋" w:hAnsi="仿宋" w:eastAsia="仿宋" w:cs="仿宋"/>
          <w:b/>
          <w:bCs/>
          <w:kern w:val="0"/>
          <w:sz w:val="28"/>
          <w:szCs w:val="28"/>
        </w:rPr>
        <w:t>（六）加强宣传引导</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充分发挥电视、广播、网络、微信、微博等媒介的舆论导向作用，积极引导各类社会团体、民间组织、志愿者队伍参与建设活动，及时总结推广好典型、好经验、好做法。加强涉水方面法律法规规章标准宣传，增强企业商户环保自律意识，自觉履行治水社会责任。加强信息公开，拓宽公众参与平台，畅通监督渠道，积极营造全社会关心、支持、参与建设的浓厚氛围。</w:t>
      </w:r>
    </w:p>
    <w:p>
      <w:pPr>
        <w:spacing w:line="560" w:lineRule="exact"/>
        <w:ind w:firstLine="560" w:firstLineChars="200"/>
        <w:rPr>
          <w:rFonts w:hint="eastAsia" w:ascii="仿宋" w:hAnsi="仿宋" w:eastAsia="仿宋" w:cs="仿宋"/>
          <w:color w:val="000000"/>
          <w:kern w:val="0"/>
          <w:sz w:val="28"/>
          <w:szCs w:val="28"/>
        </w:rPr>
      </w:pPr>
    </w:p>
    <w:p>
      <w:pPr>
        <w:spacing w:line="560" w:lineRule="exact"/>
        <w:ind w:firstLine="560" w:firstLineChars="200"/>
        <w:rPr>
          <w:rFonts w:hint="eastAsia" w:ascii="仿宋" w:hAnsi="仿宋" w:eastAsia="仿宋" w:cs="仿宋"/>
          <w:color w:val="000000"/>
          <w:kern w:val="0"/>
          <w:sz w:val="28"/>
          <w:szCs w:val="28"/>
        </w:rPr>
      </w:pPr>
    </w:p>
    <w:p>
      <w:pPr>
        <w:spacing w:line="520" w:lineRule="exact"/>
        <w:rPr>
          <w:rFonts w:hint="eastAsia" w:ascii="仿宋" w:hAnsi="仿宋" w:eastAsia="仿宋" w:cs="仿宋"/>
          <w:color w:val="000000"/>
          <w:spacing w:val="-20"/>
          <w:kern w:val="0"/>
          <w:sz w:val="28"/>
          <w:szCs w:val="28"/>
        </w:rPr>
      </w:pPr>
      <w:r>
        <w:rPr>
          <w:rFonts w:hint="eastAsia" w:ascii="仿宋" w:hAnsi="仿宋" w:eastAsia="仿宋" w:cs="仿宋"/>
          <w:color w:val="000000"/>
          <w:spacing w:val="-20"/>
          <w:kern w:val="0"/>
          <w:sz w:val="28"/>
          <w:szCs w:val="28"/>
        </w:rPr>
        <w:t>附件：1.萧山区“污水零直排区”创建排水信息调查要求（试行）</w:t>
      </w:r>
    </w:p>
    <w:p>
      <w:pPr>
        <w:spacing w:line="520" w:lineRule="exact"/>
        <w:ind w:firstLine="720" w:firstLineChars="300"/>
        <w:rPr>
          <w:rFonts w:hint="eastAsia" w:ascii="仿宋" w:hAnsi="仿宋" w:eastAsia="仿宋" w:cs="仿宋"/>
          <w:color w:val="000000"/>
          <w:spacing w:val="-20"/>
          <w:kern w:val="0"/>
          <w:sz w:val="28"/>
          <w:szCs w:val="28"/>
        </w:rPr>
      </w:pPr>
      <w:r>
        <w:rPr>
          <w:rFonts w:hint="eastAsia" w:ascii="仿宋" w:hAnsi="仿宋" w:eastAsia="仿宋" w:cs="仿宋"/>
          <w:color w:val="000000"/>
          <w:spacing w:val="-20"/>
          <w:kern w:val="0"/>
          <w:sz w:val="28"/>
          <w:szCs w:val="28"/>
        </w:rPr>
        <w:t>2.萧山区工业园区（工业集聚区）类“污水零直排区”建设指导意见（试行）</w:t>
      </w:r>
    </w:p>
    <w:p>
      <w:pPr>
        <w:spacing w:line="520" w:lineRule="exact"/>
        <w:ind w:firstLine="720" w:firstLineChars="300"/>
        <w:rPr>
          <w:rFonts w:hint="eastAsia" w:ascii="仿宋" w:hAnsi="仿宋" w:eastAsia="仿宋" w:cs="仿宋"/>
          <w:color w:val="000000"/>
          <w:spacing w:val="-20"/>
          <w:kern w:val="0"/>
          <w:sz w:val="28"/>
          <w:szCs w:val="28"/>
        </w:rPr>
      </w:pPr>
      <w:r>
        <w:rPr>
          <w:rFonts w:hint="eastAsia" w:ascii="仿宋" w:hAnsi="仿宋" w:eastAsia="仿宋" w:cs="仿宋"/>
          <w:color w:val="000000"/>
          <w:spacing w:val="-20"/>
          <w:kern w:val="0"/>
          <w:sz w:val="28"/>
          <w:szCs w:val="28"/>
        </w:rPr>
        <w:t>3.萧山区生活小区类和其他类“污水零直排区”建设改造指导意见（试行）</w:t>
      </w:r>
    </w:p>
    <w:p>
      <w:pPr>
        <w:spacing w:line="520" w:lineRule="exact"/>
        <w:ind w:firstLine="720" w:firstLineChars="300"/>
        <w:rPr>
          <w:rFonts w:hint="eastAsia" w:ascii="仿宋" w:hAnsi="仿宋" w:eastAsia="仿宋" w:cs="仿宋"/>
          <w:color w:val="000000"/>
          <w:kern w:val="0"/>
          <w:sz w:val="28"/>
          <w:szCs w:val="28"/>
        </w:rPr>
      </w:pPr>
      <w:r>
        <w:rPr>
          <w:rFonts w:hint="eastAsia" w:ascii="仿宋" w:hAnsi="仿宋" w:eastAsia="仿宋" w:cs="仿宋"/>
          <w:color w:val="000000"/>
          <w:spacing w:val="-20"/>
          <w:kern w:val="0"/>
          <w:sz w:val="28"/>
          <w:szCs w:val="28"/>
        </w:rPr>
        <w:t>4.萧山区“污水零直排区”建设验收办法</w:t>
      </w:r>
    </w:p>
    <w:p>
      <w:pPr>
        <w:pStyle w:val="8"/>
        <w:ind w:firstLine="0" w:firstLineChars="0"/>
        <w:outlineLvl w:val="9"/>
        <w:rPr>
          <w:rFonts w:hint="eastAsia" w:ascii="楷体" w:hAnsi="楷体" w:eastAsia="楷体" w:cs="楷体"/>
          <w:bCs w:val="0"/>
          <w:color w:val="000000"/>
          <w:kern w:val="0"/>
          <w:sz w:val="30"/>
          <w:szCs w:val="30"/>
        </w:rPr>
      </w:pPr>
    </w:p>
    <w:p>
      <w:pPr>
        <w:pStyle w:val="8"/>
        <w:ind w:firstLine="0" w:firstLineChars="0"/>
        <w:outlineLvl w:val="9"/>
        <w:rPr>
          <w:rFonts w:hint="eastAsia" w:ascii="楷体" w:hAnsi="楷体" w:eastAsia="楷体" w:cs="楷体"/>
          <w:bCs w:val="0"/>
          <w:color w:val="000000"/>
          <w:kern w:val="0"/>
          <w:sz w:val="30"/>
          <w:szCs w:val="30"/>
        </w:rPr>
      </w:pPr>
    </w:p>
    <w:p>
      <w:pPr>
        <w:pStyle w:val="8"/>
        <w:ind w:firstLine="0" w:firstLineChars="0"/>
        <w:outlineLvl w:val="9"/>
        <w:rPr>
          <w:rFonts w:hint="eastAsia" w:ascii="楷体" w:hAnsi="楷体" w:eastAsia="楷体" w:cs="楷体"/>
          <w:bCs w:val="0"/>
          <w:color w:val="000000"/>
          <w:kern w:val="0"/>
          <w:sz w:val="30"/>
          <w:szCs w:val="30"/>
        </w:rPr>
      </w:pPr>
    </w:p>
    <w:p>
      <w:pPr>
        <w:pStyle w:val="8"/>
        <w:ind w:firstLine="0" w:firstLineChars="0"/>
        <w:outlineLvl w:val="9"/>
        <w:rPr>
          <w:rFonts w:hint="eastAsia" w:ascii="楷体" w:hAnsi="楷体" w:eastAsia="楷体" w:cs="楷体"/>
          <w:bCs w:val="0"/>
          <w:color w:val="000000"/>
          <w:kern w:val="0"/>
          <w:sz w:val="30"/>
          <w:szCs w:val="30"/>
        </w:rPr>
      </w:pPr>
    </w:p>
    <w:p>
      <w:pPr>
        <w:pStyle w:val="8"/>
        <w:ind w:firstLine="0" w:firstLineChars="0"/>
        <w:outlineLvl w:val="9"/>
        <w:rPr>
          <w:rFonts w:hint="eastAsia" w:ascii="楷体" w:hAnsi="楷体" w:eastAsia="楷体" w:cs="楷体"/>
          <w:bCs w:val="0"/>
          <w:color w:val="000000"/>
          <w:kern w:val="0"/>
          <w:sz w:val="30"/>
          <w:szCs w:val="30"/>
        </w:rPr>
      </w:pPr>
    </w:p>
    <w:p>
      <w:pPr>
        <w:pStyle w:val="8"/>
        <w:ind w:firstLine="0" w:firstLineChars="0"/>
        <w:outlineLvl w:val="9"/>
        <w:rPr>
          <w:rFonts w:hint="eastAsia" w:ascii="楷体" w:hAnsi="楷体" w:eastAsia="楷体" w:cs="楷体"/>
          <w:bCs w:val="0"/>
          <w:color w:val="000000"/>
          <w:kern w:val="0"/>
          <w:sz w:val="30"/>
          <w:szCs w:val="30"/>
        </w:rPr>
      </w:pPr>
    </w:p>
    <w:p>
      <w:pPr>
        <w:pStyle w:val="8"/>
        <w:ind w:firstLine="0" w:firstLineChars="0"/>
        <w:outlineLvl w:val="9"/>
        <w:rPr>
          <w:rFonts w:hint="eastAsia" w:ascii="楷体" w:hAnsi="楷体" w:eastAsia="楷体" w:cs="楷体"/>
          <w:bCs w:val="0"/>
          <w:color w:val="000000"/>
          <w:kern w:val="0"/>
          <w:sz w:val="30"/>
          <w:szCs w:val="30"/>
        </w:rPr>
      </w:pPr>
    </w:p>
    <w:p>
      <w:pPr>
        <w:pStyle w:val="8"/>
        <w:ind w:firstLine="0" w:firstLineChars="0"/>
        <w:outlineLvl w:val="9"/>
        <w:rPr>
          <w:rFonts w:hint="eastAsia" w:ascii="楷体" w:hAnsi="楷体" w:eastAsia="楷体" w:cs="楷体"/>
          <w:bCs w:val="0"/>
          <w:color w:val="000000"/>
          <w:kern w:val="0"/>
          <w:sz w:val="30"/>
          <w:szCs w:val="30"/>
        </w:rPr>
      </w:pPr>
    </w:p>
    <w:p>
      <w:pPr>
        <w:pStyle w:val="8"/>
        <w:ind w:firstLine="0" w:firstLineChars="0"/>
        <w:outlineLvl w:val="9"/>
        <w:rPr>
          <w:rFonts w:hint="eastAsia" w:ascii="楷体" w:hAnsi="楷体" w:eastAsia="楷体" w:cs="楷体"/>
          <w:bCs w:val="0"/>
          <w:color w:val="000000"/>
          <w:kern w:val="0"/>
          <w:sz w:val="30"/>
          <w:szCs w:val="30"/>
        </w:rPr>
      </w:pPr>
    </w:p>
    <w:p>
      <w:pPr>
        <w:pStyle w:val="8"/>
        <w:ind w:firstLine="0" w:firstLineChars="0"/>
        <w:outlineLvl w:val="9"/>
        <w:rPr>
          <w:rFonts w:ascii="仿宋_GB2312" w:hAnsi="仿宋_GB2312" w:cs="仿宋_GB2312"/>
          <w:kern w:val="0"/>
          <w:sz w:val="30"/>
          <w:szCs w:val="30"/>
        </w:rPr>
      </w:pPr>
      <w:r>
        <w:rPr>
          <w:rFonts w:hint="eastAsia" w:ascii="楷体" w:hAnsi="楷体" w:eastAsia="楷体" w:cs="楷体"/>
          <w:bCs w:val="0"/>
          <w:color w:val="000000"/>
          <w:kern w:val="0"/>
          <w:sz w:val="30"/>
          <w:szCs w:val="30"/>
        </w:rPr>
        <w:t>附件1</w:t>
      </w:r>
    </w:p>
    <w:p>
      <w:pPr>
        <w:pStyle w:val="7"/>
        <w:rPr>
          <w:rFonts w:ascii="黑体" w:hAnsi="黑体" w:eastAsia="黑体" w:cs="黑体"/>
          <w:kern w:val="0"/>
          <w:sz w:val="36"/>
          <w:szCs w:val="36"/>
        </w:rPr>
      </w:pPr>
      <w:r>
        <w:rPr>
          <w:rFonts w:hint="eastAsia" w:ascii="黑体" w:hAnsi="黑体" w:eastAsia="黑体" w:cs="黑体"/>
          <w:kern w:val="0"/>
          <w:sz w:val="36"/>
          <w:szCs w:val="36"/>
        </w:rPr>
        <w:t>萧山区“污水零直排区”创建排水信息调查要求</w:t>
      </w:r>
    </w:p>
    <w:p>
      <w:pPr>
        <w:jc w:val="center"/>
        <w:rPr>
          <w:rFonts w:ascii="楷体" w:hAnsi="楷体" w:eastAsia="楷体" w:cs="楷体"/>
          <w:color w:val="000000"/>
          <w:kern w:val="0"/>
          <w:sz w:val="30"/>
          <w:szCs w:val="30"/>
        </w:rPr>
      </w:pPr>
      <w:r>
        <w:rPr>
          <w:rFonts w:hint="eastAsia" w:ascii="楷体" w:hAnsi="楷体" w:eastAsia="楷体" w:cs="楷体"/>
          <w:color w:val="000000"/>
          <w:kern w:val="0"/>
          <w:sz w:val="30"/>
          <w:szCs w:val="30"/>
        </w:rPr>
        <w:t>（试行）</w:t>
      </w:r>
    </w:p>
    <w:p>
      <w:pPr>
        <w:jc w:val="center"/>
        <w:rPr>
          <w:rFonts w:hint="eastAsia" w:ascii="仿宋" w:hAnsi="仿宋" w:eastAsia="仿宋" w:cs="仿宋"/>
          <w:color w:val="000000"/>
          <w:kern w:val="0"/>
          <w:sz w:val="28"/>
          <w:szCs w:val="28"/>
        </w:rPr>
      </w:pP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为进一步推进我区“污水零直排区”建设，规范和指导排水设施普查，彻底查清污水源头、设施情况、雨污水排放情况，明确现状存在问题，在此基础上建立我区涉水污染源头信息数据库和排水设施分布资料数据库，特编制本调查要求。</w:t>
      </w:r>
    </w:p>
    <w:p>
      <w:pPr>
        <w:pStyle w:val="8"/>
        <w:spacing w:line="520" w:lineRule="exact"/>
        <w:ind w:firstLine="602"/>
        <w:rPr>
          <w:rFonts w:hint="eastAsia" w:ascii="仿宋" w:hAnsi="仿宋" w:eastAsia="仿宋" w:cs="仿宋"/>
          <w:b/>
          <w:color w:val="000000"/>
          <w:kern w:val="0"/>
          <w:sz w:val="28"/>
          <w:szCs w:val="28"/>
        </w:rPr>
      </w:pPr>
      <w:r>
        <w:rPr>
          <w:rFonts w:hint="eastAsia" w:ascii="仿宋" w:hAnsi="仿宋" w:eastAsia="仿宋" w:cs="仿宋"/>
          <w:b/>
          <w:color w:val="000000"/>
          <w:kern w:val="0"/>
          <w:sz w:val="28"/>
          <w:szCs w:val="28"/>
        </w:rPr>
        <w:t>一、调查范围</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本次调查工作范围为萧山区所有陆域范围。</w:t>
      </w:r>
    </w:p>
    <w:p>
      <w:pPr>
        <w:pStyle w:val="8"/>
        <w:spacing w:line="520" w:lineRule="exact"/>
        <w:ind w:firstLine="602"/>
        <w:rPr>
          <w:rFonts w:hint="eastAsia" w:ascii="仿宋" w:hAnsi="仿宋" w:eastAsia="仿宋" w:cs="仿宋"/>
          <w:b/>
          <w:color w:val="000000"/>
          <w:kern w:val="0"/>
          <w:sz w:val="28"/>
          <w:szCs w:val="28"/>
        </w:rPr>
      </w:pPr>
      <w:r>
        <w:rPr>
          <w:rFonts w:hint="eastAsia" w:ascii="仿宋" w:hAnsi="仿宋" w:eastAsia="仿宋" w:cs="仿宋"/>
          <w:b/>
          <w:color w:val="000000"/>
          <w:kern w:val="0"/>
          <w:sz w:val="28"/>
          <w:szCs w:val="28"/>
        </w:rPr>
        <w:t>二、调查内容</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1.全区陆域范围内的各类排水户和已建排水设施。</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2.各类排水户调查包括：调查范围内所有排放污水（废水）的排水户，包括生活小区、各类工业园区（工业集聚区）、商用楼宇、公建设施、医院、学校、农贸市场、机关事业单位、在建工地、各小行业排水户、工业企业（园区外）等。</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3.已建排水设施调查包括：各类排水口、排水管道（渠）及检查井、截流设施（井、泵）埋设情况、各类缺陷及雨污混接情况调查。</w:t>
      </w:r>
    </w:p>
    <w:p>
      <w:pPr>
        <w:pStyle w:val="8"/>
        <w:spacing w:line="520" w:lineRule="exact"/>
        <w:ind w:firstLine="602"/>
        <w:rPr>
          <w:rFonts w:hint="eastAsia" w:ascii="仿宋" w:hAnsi="仿宋" w:eastAsia="仿宋" w:cs="仿宋"/>
          <w:b/>
          <w:color w:val="000000"/>
          <w:kern w:val="0"/>
          <w:sz w:val="28"/>
          <w:szCs w:val="28"/>
        </w:rPr>
      </w:pPr>
      <w:r>
        <w:rPr>
          <w:rFonts w:hint="eastAsia" w:ascii="仿宋" w:hAnsi="仿宋" w:eastAsia="仿宋" w:cs="仿宋"/>
          <w:b/>
          <w:color w:val="000000"/>
          <w:kern w:val="0"/>
          <w:sz w:val="28"/>
          <w:szCs w:val="28"/>
        </w:rPr>
        <w:t>三、调查要求</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1.各类排水户调查要查清排放的地理位置、排水性质、水量、出口管径、管底标高、受纳水体或管道、内部现状排水设施情况等信息。</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2.已建排水设施调查要查清排水设施情况，包括平面位置、埋深、走向、管材、管径、长度、水流方向、坡度、管道状况、埋设年代、权属单位等。重点查清现状存在问题，包括管道缺陷、雨污合流情况、山水混接情况、截流井设置情况、河水倒灌情况等，查清生活小区阳台水排放情况。</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3.各类生活小区纳入排水户调查统计范畴，其内部排水设施纳入已建排水设施调查。</w:t>
      </w:r>
    </w:p>
    <w:p>
      <w:pPr>
        <w:pStyle w:val="8"/>
        <w:spacing w:line="520" w:lineRule="exact"/>
        <w:ind w:firstLine="602"/>
        <w:rPr>
          <w:rFonts w:hint="eastAsia" w:ascii="仿宋" w:hAnsi="仿宋" w:eastAsia="仿宋" w:cs="仿宋"/>
          <w:b/>
          <w:color w:val="000000"/>
          <w:kern w:val="0"/>
          <w:sz w:val="28"/>
          <w:szCs w:val="28"/>
        </w:rPr>
      </w:pPr>
      <w:r>
        <w:rPr>
          <w:rFonts w:hint="eastAsia" w:ascii="仿宋" w:hAnsi="仿宋" w:eastAsia="仿宋" w:cs="仿宋"/>
          <w:b/>
          <w:color w:val="000000"/>
          <w:kern w:val="0"/>
          <w:sz w:val="28"/>
          <w:szCs w:val="28"/>
        </w:rPr>
        <w:t>四、调查方法</w:t>
      </w:r>
    </w:p>
    <w:p>
      <w:pPr>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1.各类排水户调查</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一是对已登记的排水许可用户资料进行梳理，收集现有排水户的具体名单、位置、水量、行业性质等，并进行现场调查核实。</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二是对尚无资料的排水户开展入户调查，查看内部排水设施情况、排水规模、与市政接管（预留井）位置等。</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上述两种情况均要填写排水户普查登记表（附件1），并收集排水设施图纸等。</w:t>
      </w:r>
    </w:p>
    <w:p>
      <w:pPr>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2.已建排水设施调查</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一是对现有排水管网资料进行整理，通过向政府有关部门、设计施工单位调查了解，收集调查范围内的排水系统资料，包括施工图、竣工图及相关技术说明资料。</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二是开展现场调查，对已有相关资料的排水设施进行复核，查看图纸资料与现场情况是否一致，有出入的要注明并更正；没有现存资料的排水设施，要开展专业探查（可采用CCTV等检测手段），并形成调查资料；现场调查可以自查或者委托第三方调查；对不清楚是否存在排水管道的，采用物探等手段进行明确，确保查准且真实可靠。</w:t>
      </w:r>
    </w:p>
    <w:p>
      <w:pPr>
        <w:pStyle w:val="8"/>
        <w:spacing w:line="520" w:lineRule="exact"/>
        <w:ind w:firstLine="602"/>
        <w:rPr>
          <w:rFonts w:hint="eastAsia" w:ascii="仿宋" w:hAnsi="仿宋" w:eastAsia="仿宋" w:cs="仿宋"/>
          <w:b/>
          <w:color w:val="000000"/>
          <w:kern w:val="0"/>
          <w:sz w:val="28"/>
          <w:szCs w:val="28"/>
        </w:rPr>
      </w:pPr>
      <w:r>
        <w:rPr>
          <w:rFonts w:hint="eastAsia" w:ascii="仿宋" w:hAnsi="仿宋" w:eastAsia="仿宋" w:cs="仿宋"/>
          <w:b/>
          <w:color w:val="000000"/>
          <w:kern w:val="0"/>
          <w:sz w:val="28"/>
          <w:szCs w:val="28"/>
        </w:rPr>
        <w:t>五、调查成果</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1.各类排水户调查成果包括排水户普查登记表（附件1）、排水户统计表（附件2）、排水户问题清单表（附件3）、现状排水平面图。</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2.已建排水设施调查成果包括设施量清单、排水设施问题清单表（附件4）、现状排水平面图；若委托第三方调查，需形成调查报告。</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3.各类调查资料需满足管网信息化建设要求。</w:t>
      </w:r>
    </w:p>
    <w:p>
      <w:pPr>
        <w:pStyle w:val="8"/>
        <w:spacing w:line="520" w:lineRule="exact"/>
        <w:ind w:firstLine="600"/>
        <w:rPr>
          <w:rFonts w:hint="eastAsia" w:ascii="仿宋" w:hAnsi="仿宋" w:eastAsia="仿宋" w:cs="仿宋"/>
          <w:bCs w:val="0"/>
          <w:color w:val="000000"/>
          <w:kern w:val="0"/>
          <w:sz w:val="28"/>
          <w:szCs w:val="28"/>
        </w:rPr>
      </w:pPr>
      <w:r>
        <w:rPr>
          <w:rFonts w:hint="eastAsia" w:ascii="仿宋" w:hAnsi="仿宋" w:eastAsia="仿宋" w:cs="仿宋"/>
          <w:bCs w:val="0"/>
          <w:color w:val="000000"/>
          <w:kern w:val="0"/>
          <w:sz w:val="28"/>
          <w:szCs w:val="28"/>
        </w:rPr>
        <w:t>六、填报要求</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1.排水户普查登记表</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（1）各类排水户普查要细致全面，确保统计工作不遗漏。</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（2）生活小区、工业园区（工业集聚区）、商用楼宇等大型设施内部的小型排水户不单独列入统计，做到统计不重复。</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3）“其他需说明的情况”栏要对所调查排水户做简单描述，主要包括现存排水问题（现状排水设施情况、雨污分流情况）、生活小区注明阳台水及景观水情况、其他类注明是否按规范设置预处理设施，生活小区、工业园区（工业集聚区）、商用楼宇内部小型排水户要做相应统计说明。</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2.排水户统计表</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本表主要对排水户普查登记表收集的相应信息进行汇总统计。</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3.排水户问题清单表</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本表是对排水户普查出来的问题进行汇总，只需填写工业园区（工业集聚区）和其他类，生活小区问题列入排水设施问题清单表统计。</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4.排水设施问题清单表</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（1）本表要对所查的各类排水设施问题进行登记，问题类型包括污水接入雨水、雨水接入污水、截流井（泵站）、河水倒灌、排出口封堵、阳台水合流、山水混接、管道破损渗漏、合流管直接进污水等。</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（2）处理意见分为四类：长效手段、即查即改、立项解决、疑难问题。</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长效手段：主要指通过长效管理，采用清疏管道等手段可以解决的问题。</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即查即改：主要指所涉及问题较为简单，无上下游关联性，通过简便手段进行改造即可解决。</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立项解决：主要指所涉及问题范围较广，需通过工程项目，实现整体解决。</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疑难问题：指所涉问题较为复杂，如暗渠、大型综合体、老旧小区幢间小改造难度大等。近期采用应急手段消除排污，远期要查找源头，科学制定方案，整体解决。</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（3）所有问题均要和图纸一一对应，统计全面。</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5.现状排水平面图</w:t>
      </w:r>
    </w:p>
    <w:p>
      <w:p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现状排水平面图要以地形图为底图，通过CAD软件绘图并表达。具体要包括以下信息：</w:t>
      </w:r>
    </w:p>
    <w:p>
      <w:pPr>
        <w:numPr>
          <w:ilvl w:val="0"/>
          <w:numId w:val="1"/>
        </w:num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河道、河道排出口、河道常水位标高。</w:t>
      </w:r>
    </w:p>
    <w:p>
      <w:pPr>
        <w:numPr>
          <w:ilvl w:val="0"/>
          <w:numId w:val="1"/>
        </w:num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市政雨水管网、泵站，注明管径、管材和走向。</w:t>
      </w:r>
    </w:p>
    <w:p>
      <w:pPr>
        <w:numPr>
          <w:ilvl w:val="0"/>
          <w:numId w:val="1"/>
        </w:num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市政污水管网、泵站，注明管径、管材和走向。</w:t>
      </w:r>
    </w:p>
    <w:p>
      <w:pPr>
        <w:numPr>
          <w:ilvl w:val="0"/>
          <w:numId w:val="1"/>
        </w:num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排水问题，包含以下信息：问题编号、规格、地址、问题类型、对应河道排出口、处理意见等。相关信息要与排水设施问题清单表（附件4）相对应。</w:t>
      </w:r>
    </w:p>
    <w:p>
      <w:pPr>
        <w:numPr>
          <w:ilvl w:val="0"/>
          <w:numId w:val="1"/>
        </w:num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截流井，包含以下信息：截流井编号、堰墙高度、类型、地址、对应河道排出口、处理意见等。</w:t>
      </w:r>
    </w:p>
    <w:p>
      <w:pPr>
        <w:numPr>
          <w:ilvl w:val="0"/>
          <w:numId w:val="1"/>
        </w:num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生活小区内的排水问题，图中除注明具体位置外，还需标明雨、污水管等相关信息。</w:t>
      </w:r>
    </w:p>
    <w:p>
      <w:pPr>
        <w:numPr>
          <w:ilvl w:val="0"/>
          <w:numId w:val="1"/>
        </w:numPr>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其他类排水问题，要注明名称、地址、问题类型、对应河道排出口等信息。</w:t>
      </w:r>
    </w:p>
    <w:p>
      <w:pPr>
        <w:keepNext w:val="0"/>
        <w:keepLines w:val="0"/>
        <w:pageBreakBefore w:val="0"/>
        <w:widowControl w:val="0"/>
        <w:kinsoku/>
        <w:wordWrap/>
        <w:overflowPunct/>
        <w:topLinePunct w:val="0"/>
        <w:autoSpaceDE/>
        <w:autoSpaceDN/>
        <w:bidi w:val="0"/>
        <w:adjustRightInd/>
        <w:snapToGrid/>
        <w:spacing w:line="500" w:lineRule="exact"/>
        <w:ind w:firstLine="641"/>
        <w:textAlignment w:val="auto"/>
        <w:outlineLvl w:val="9"/>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附件：1.1</w:t>
      </w:r>
      <w:r>
        <w:rPr>
          <w:rFonts w:hint="eastAsia" w:ascii="仿宋" w:hAnsi="仿宋" w:eastAsia="仿宋" w:cs="仿宋"/>
          <w:color w:val="000000"/>
          <w:kern w:val="0"/>
          <w:sz w:val="28"/>
          <w:szCs w:val="28"/>
          <w:u w:val="single"/>
        </w:rPr>
        <w:t xml:space="preserve">      </w:t>
      </w:r>
      <w:r>
        <w:rPr>
          <w:rFonts w:hint="eastAsia" w:ascii="仿宋" w:hAnsi="仿宋" w:eastAsia="仿宋" w:cs="仿宋"/>
          <w:color w:val="000000"/>
          <w:kern w:val="0"/>
          <w:sz w:val="28"/>
          <w:szCs w:val="28"/>
        </w:rPr>
        <w:t>街道排水户普查登记表</w:t>
      </w:r>
    </w:p>
    <w:p>
      <w:pPr>
        <w:keepNext w:val="0"/>
        <w:keepLines w:val="0"/>
        <w:pageBreakBefore w:val="0"/>
        <w:widowControl w:val="0"/>
        <w:kinsoku/>
        <w:wordWrap/>
        <w:overflowPunct/>
        <w:topLinePunct w:val="0"/>
        <w:autoSpaceDE/>
        <w:autoSpaceDN/>
        <w:bidi w:val="0"/>
        <w:adjustRightInd/>
        <w:snapToGrid/>
        <w:spacing w:line="500" w:lineRule="exact"/>
        <w:ind w:firstLine="641"/>
        <w:textAlignment w:val="auto"/>
        <w:outlineLvl w:val="9"/>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 xml:space="preserve">      1.2</w:t>
      </w:r>
      <w:r>
        <w:rPr>
          <w:rFonts w:hint="eastAsia" w:ascii="仿宋" w:hAnsi="仿宋" w:eastAsia="仿宋" w:cs="仿宋"/>
          <w:color w:val="000000"/>
          <w:kern w:val="0"/>
          <w:sz w:val="28"/>
          <w:szCs w:val="28"/>
          <w:u w:val="single"/>
        </w:rPr>
        <w:t xml:space="preserve">      </w:t>
      </w:r>
      <w:r>
        <w:rPr>
          <w:rFonts w:hint="eastAsia" w:ascii="仿宋" w:hAnsi="仿宋" w:eastAsia="仿宋" w:cs="仿宋"/>
          <w:color w:val="000000"/>
          <w:kern w:val="0"/>
          <w:sz w:val="28"/>
          <w:szCs w:val="28"/>
        </w:rPr>
        <w:t>街道排水户统计表</w:t>
      </w:r>
    </w:p>
    <w:p>
      <w:pPr>
        <w:keepNext w:val="0"/>
        <w:keepLines w:val="0"/>
        <w:pageBreakBefore w:val="0"/>
        <w:widowControl w:val="0"/>
        <w:kinsoku/>
        <w:wordWrap/>
        <w:overflowPunct/>
        <w:topLinePunct w:val="0"/>
        <w:autoSpaceDE/>
        <w:autoSpaceDN/>
        <w:bidi w:val="0"/>
        <w:adjustRightInd/>
        <w:snapToGrid/>
        <w:spacing w:line="500" w:lineRule="exact"/>
        <w:ind w:firstLine="641"/>
        <w:textAlignment w:val="auto"/>
        <w:outlineLvl w:val="9"/>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 xml:space="preserve">      1.3</w:t>
      </w:r>
      <w:r>
        <w:rPr>
          <w:rFonts w:hint="eastAsia" w:ascii="仿宋" w:hAnsi="仿宋" w:eastAsia="仿宋" w:cs="仿宋"/>
          <w:color w:val="000000"/>
          <w:kern w:val="0"/>
          <w:sz w:val="28"/>
          <w:szCs w:val="28"/>
          <w:u w:val="single"/>
        </w:rPr>
        <w:t xml:space="preserve">      </w:t>
      </w:r>
      <w:r>
        <w:rPr>
          <w:rFonts w:hint="eastAsia" w:ascii="仿宋" w:hAnsi="仿宋" w:eastAsia="仿宋" w:cs="仿宋"/>
          <w:color w:val="000000"/>
          <w:kern w:val="0"/>
          <w:sz w:val="28"/>
          <w:szCs w:val="28"/>
        </w:rPr>
        <w:t>街道排水户问题清单表</w:t>
      </w:r>
    </w:p>
    <w:p>
      <w:pPr>
        <w:keepNext w:val="0"/>
        <w:keepLines w:val="0"/>
        <w:pageBreakBefore w:val="0"/>
        <w:widowControl w:val="0"/>
        <w:kinsoku/>
        <w:wordWrap/>
        <w:overflowPunct/>
        <w:topLinePunct w:val="0"/>
        <w:autoSpaceDE/>
        <w:autoSpaceDN/>
        <w:bidi w:val="0"/>
        <w:adjustRightInd/>
        <w:snapToGrid/>
        <w:spacing w:line="500" w:lineRule="exact"/>
        <w:ind w:firstLine="641"/>
        <w:textAlignment w:val="auto"/>
        <w:outlineLvl w:val="9"/>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 xml:space="preserve">      1.4</w:t>
      </w:r>
      <w:r>
        <w:rPr>
          <w:rFonts w:hint="eastAsia" w:ascii="仿宋" w:hAnsi="仿宋" w:eastAsia="仿宋" w:cs="仿宋"/>
          <w:color w:val="000000"/>
          <w:kern w:val="0"/>
          <w:sz w:val="28"/>
          <w:szCs w:val="28"/>
          <w:u w:val="single"/>
        </w:rPr>
        <w:t xml:space="preserve">      </w:t>
      </w:r>
      <w:r>
        <w:rPr>
          <w:rFonts w:hint="eastAsia" w:ascii="仿宋" w:hAnsi="仿宋" w:eastAsia="仿宋" w:cs="仿宋"/>
          <w:color w:val="000000"/>
          <w:kern w:val="0"/>
          <w:sz w:val="28"/>
          <w:szCs w:val="28"/>
        </w:rPr>
        <w:t>排水设施问题清单表</w:t>
      </w:r>
    </w:p>
    <w:p>
      <w:pPr>
        <w:keepNext w:val="0"/>
        <w:keepLines w:val="0"/>
        <w:pageBreakBefore w:val="0"/>
        <w:widowControl w:val="0"/>
        <w:kinsoku/>
        <w:wordWrap/>
        <w:overflowPunct/>
        <w:topLinePunct w:val="0"/>
        <w:autoSpaceDE/>
        <w:autoSpaceDN/>
        <w:bidi w:val="0"/>
        <w:adjustRightInd/>
        <w:snapToGrid/>
        <w:spacing w:line="500" w:lineRule="exact"/>
        <w:textAlignment w:val="auto"/>
        <w:outlineLvl w:val="9"/>
        <w:rPr>
          <w:rFonts w:ascii="楷体" w:hAnsi="楷体" w:eastAsia="楷体" w:cs="楷体"/>
        </w:rPr>
      </w:pPr>
      <w:bookmarkStart w:id="0" w:name="_GoBack"/>
      <w:bookmarkEnd w:id="0"/>
      <w:r>
        <w:rPr>
          <w:rFonts w:hint="eastAsia" w:ascii="楷体" w:hAnsi="楷体" w:eastAsia="楷体" w:cs="楷体"/>
          <w:sz w:val="28"/>
          <w:szCs w:val="28"/>
        </w:rPr>
        <w:t>附件1.1</w:t>
      </w:r>
    </w:p>
    <w:p>
      <w:pPr>
        <w:jc w:val="center"/>
        <w:rPr>
          <w:rFonts w:ascii="方正小标宋简体" w:eastAsia="方正小标宋简体"/>
          <w:b/>
          <w:bCs/>
          <w:sz w:val="36"/>
          <w:szCs w:val="28"/>
        </w:rPr>
      </w:pPr>
      <w:r>
        <w:rPr>
          <w:rFonts w:hint="eastAsia" w:ascii="方正小标宋简体" w:eastAsia="方正小标宋简体"/>
          <w:b/>
          <w:bCs/>
          <w:sz w:val="36"/>
          <w:szCs w:val="28"/>
          <w:u w:val="single"/>
        </w:rPr>
        <w:t xml:space="preserve">          </w:t>
      </w:r>
      <w:r>
        <w:rPr>
          <w:rFonts w:hint="eastAsia" w:ascii="方正小标宋简体" w:eastAsia="方正小标宋简体"/>
          <w:b/>
          <w:bCs/>
          <w:sz w:val="36"/>
          <w:szCs w:val="28"/>
        </w:rPr>
        <w:t xml:space="preserve"> 镇（街道）排水户普查登记表</w:t>
      </w:r>
    </w:p>
    <w:p>
      <w:pPr>
        <w:rPr>
          <w:rFonts w:ascii="楷体_GB2312" w:eastAsia="楷体_GB2312"/>
          <w:sz w:val="22"/>
          <w:szCs w:val="21"/>
        </w:rPr>
      </w:pPr>
      <w:r>
        <w:rPr>
          <w:rFonts w:hint="eastAsia" w:ascii="楷体_GB2312" w:eastAsia="楷体_GB2312"/>
          <w:sz w:val="22"/>
          <w:szCs w:val="21"/>
          <w:u w:val="single"/>
        </w:rPr>
        <w:t xml:space="preserve">            </w:t>
      </w:r>
      <w:r>
        <w:rPr>
          <w:rFonts w:hint="eastAsia" w:ascii="楷体_GB2312" w:eastAsia="楷体_GB2312"/>
          <w:sz w:val="22"/>
          <w:szCs w:val="21"/>
        </w:rPr>
        <w:t>社区                                              调查人：</w:t>
      </w:r>
    </w:p>
    <w:tbl>
      <w:tblPr>
        <w:tblStyle w:val="6"/>
        <w:tblW w:w="947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
        <w:gridCol w:w="1134"/>
        <w:gridCol w:w="2551"/>
        <w:gridCol w:w="929"/>
        <w:gridCol w:w="988"/>
        <w:gridCol w:w="1335"/>
        <w:gridCol w:w="724"/>
        <w:gridCol w:w="12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0" w:hRule="atLeast"/>
          <w:jc w:val="center"/>
        </w:trPr>
        <w:tc>
          <w:tcPr>
            <w:tcW w:w="1740" w:type="dxa"/>
            <w:gridSpan w:val="2"/>
            <w:vAlign w:val="center"/>
          </w:tcPr>
          <w:p>
            <w:pPr>
              <w:rPr>
                <w:rFonts w:ascii="楷体_GB2312" w:eastAsia="楷体_GB2312"/>
                <w:sz w:val="24"/>
                <w:szCs w:val="24"/>
              </w:rPr>
            </w:pPr>
            <w:r>
              <w:rPr>
                <w:rFonts w:hint="eastAsia" w:ascii="楷体_GB2312" w:eastAsia="楷体_GB2312"/>
                <w:sz w:val="24"/>
                <w:szCs w:val="24"/>
              </w:rPr>
              <w:t>排水户名称</w:t>
            </w:r>
          </w:p>
        </w:tc>
        <w:tc>
          <w:tcPr>
            <w:tcW w:w="3480" w:type="dxa"/>
            <w:gridSpan w:val="2"/>
            <w:vAlign w:val="center"/>
          </w:tcPr>
          <w:p>
            <w:pPr>
              <w:jc w:val="center"/>
              <w:rPr>
                <w:rFonts w:ascii="楷体_GB2312" w:eastAsia="楷体_GB2312"/>
                <w:sz w:val="24"/>
                <w:szCs w:val="24"/>
              </w:rPr>
            </w:pPr>
          </w:p>
        </w:tc>
        <w:tc>
          <w:tcPr>
            <w:tcW w:w="988" w:type="dxa"/>
            <w:vAlign w:val="center"/>
          </w:tcPr>
          <w:p>
            <w:pPr>
              <w:rPr>
                <w:rFonts w:ascii="楷体_GB2312" w:eastAsia="楷体_GB2312"/>
                <w:sz w:val="24"/>
                <w:szCs w:val="24"/>
              </w:rPr>
            </w:pPr>
            <w:r>
              <w:rPr>
                <w:rFonts w:hint="eastAsia" w:ascii="楷体_GB2312" w:eastAsia="楷体_GB2312"/>
                <w:sz w:val="24"/>
                <w:szCs w:val="24"/>
              </w:rPr>
              <w:t>联系人</w:t>
            </w:r>
          </w:p>
        </w:tc>
        <w:tc>
          <w:tcPr>
            <w:tcW w:w="1335" w:type="dxa"/>
            <w:vAlign w:val="center"/>
          </w:tcPr>
          <w:p>
            <w:pPr>
              <w:rPr>
                <w:rFonts w:ascii="楷体_GB2312" w:eastAsia="楷体_GB2312"/>
                <w:sz w:val="24"/>
                <w:szCs w:val="24"/>
              </w:rPr>
            </w:pPr>
          </w:p>
        </w:tc>
        <w:tc>
          <w:tcPr>
            <w:tcW w:w="724" w:type="dxa"/>
            <w:vAlign w:val="center"/>
          </w:tcPr>
          <w:p>
            <w:pPr>
              <w:rPr>
                <w:rFonts w:ascii="楷体_GB2312" w:eastAsia="楷体_GB2312"/>
                <w:sz w:val="24"/>
                <w:szCs w:val="24"/>
              </w:rPr>
            </w:pPr>
            <w:r>
              <w:rPr>
                <w:rFonts w:hint="eastAsia" w:ascii="楷体_GB2312" w:eastAsia="楷体_GB2312"/>
                <w:sz w:val="24"/>
                <w:szCs w:val="24"/>
              </w:rPr>
              <w:t>电话</w:t>
            </w:r>
          </w:p>
        </w:tc>
        <w:tc>
          <w:tcPr>
            <w:tcW w:w="1211" w:type="dxa"/>
            <w:vAlign w:val="center"/>
          </w:tcPr>
          <w:p>
            <w:pPr>
              <w:rPr>
                <w:rFonts w:ascii="楷体_GB2312" w:eastAsia="楷体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6" w:hRule="atLeast"/>
          <w:jc w:val="center"/>
        </w:trPr>
        <w:tc>
          <w:tcPr>
            <w:tcW w:w="1740" w:type="dxa"/>
            <w:gridSpan w:val="2"/>
            <w:vAlign w:val="center"/>
          </w:tcPr>
          <w:p>
            <w:pPr>
              <w:rPr>
                <w:rFonts w:ascii="楷体_GB2312" w:eastAsia="楷体_GB2312"/>
                <w:sz w:val="24"/>
                <w:szCs w:val="24"/>
              </w:rPr>
            </w:pPr>
            <w:r>
              <w:rPr>
                <w:rFonts w:hint="eastAsia" w:ascii="楷体_GB2312" w:eastAsia="楷体_GB2312"/>
                <w:sz w:val="24"/>
                <w:szCs w:val="24"/>
              </w:rPr>
              <w:t>排水户地址</w:t>
            </w:r>
          </w:p>
        </w:tc>
        <w:tc>
          <w:tcPr>
            <w:tcW w:w="7738" w:type="dxa"/>
            <w:gridSpan w:val="6"/>
            <w:vAlign w:val="center"/>
          </w:tcPr>
          <w:p>
            <w:pPr>
              <w:ind w:firstLine="240" w:firstLineChars="100"/>
              <w:rPr>
                <w:rFonts w:ascii="楷体_GB2312" w:eastAsia="楷体_GB2312"/>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2" w:hRule="atLeast"/>
          <w:jc w:val="center"/>
        </w:trPr>
        <w:tc>
          <w:tcPr>
            <w:tcW w:w="606" w:type="dxa"/>
            <w:vMerge w:val="restart"/>
            <w:vAlign w:val="center"/>
          </w:tcPr>
          <w:p>
            <w:pPr>
              <w:jc w:val="center"/>
              <w:rPr>
                <w:rFonts w:ascii="楷体_GB2312" w:eastAsia="楷体_GB2312"/>
                <w:sz w:val="24"/>
                <w:szCs w:val="24"/>
              </w:rPr>
            </w:pPr>
            <w:r>
              <w:rPr>
                <w:rFonts w:hint="eastAsia" w:ascii="楷体_GB2312" w:eastAsia="楷体_GB2312"/>
                <w:sz w:val="24"/>
                <w:szCs w:val="24"/>
              </w:rPr>
              <w:t>排水</w:t>
            </w:r>
          </w:p>
          <w:p>
            <w:pPr>
              <w:jc w:val="center"/>
              <w:rPr>
                <w:rFonts w:ascii="楷体_GB2312" w:eastAsia="楷体_GB2312"/>
                <w:sz w:val="24"/>
                <w:szCs w:val="24"/>
              </w:rPr>
            </w:pPr>
            <w:r>
              <w:rPr>
                <w:rFonts w:hint="eastAsia" w:ascii="楷体_GB2312" w:eastAsia="楷体_GB2312"/>
                <w:sz w:val="24"/>
                <w:szCs w:val="24"/>
              </w:rPr>
              <w:t>户类型</w:t>
            </w:r>
          </w:p>
        </w:tc>
        <w:tc>
          <w:tcPr>
            <w:tcW w:w="1134" w:type="dxa"/>
            <w:vMerge w:val="restart"/>
            <w:vAlign w:val="center"/>
          </w:tcPr>
          <w:p>
            <w:pPr>
              <w:jc w:val="center"/>
              <w:rPr>
                <w:rFonts w:ascii="楷体_GB2312" w:eastAsia="楷体_GB2312"/>
                <w:sz w:val="24"/>
                <w:szCs w:val="24"/>
              </w:rPr>
            </w:pPr>
            <w:r>
              <w:rPr>
                <w:rFonts w:hint="eastAsia" w:ascii="楷体_GB2312" w:eastAsia="楷体_GB2312"/>
                <w:sz w:val="24"/>
                <w:szCs w:val="24"/>
              </w:rPr>
              <w:t>工业园区（工业集聚区）类</w:t>
            </w:r>
          </w:p>
        </w:tc>
        <w:tc>
          <w:tcPr>
            <w:tcW w:w="7738" w:type="dxa"/>
            <w:gridSpan w:val="6"/>
            <w:vAlign w:val="center"/>
          </w:tcPr>
          <w:p>
            <w:pPr>
              <w:jc w:val="center"/>
              <w:rPr>
                <w:rFonts w:ascii="楷体_GB2312" w:eastAsia="楷体_GB2312"/>
                <w:sz w:val="24"/>
                <w:szCs w:val="24"/>
              </w:rPr>
            </w:pPr>
            <w:r>
              <w:rPr>
                <w:rFonts w:hint="eastAsia" w:ascii="楷体_GB2312" w:eastAsia="楷体_GB2312"/>
                <w:sz w:val="24"/>
                <w:szCs w:val="24"/>
                <w:u w:val="single"/>
              </w:rPr>
              <w:t xml:space="preserve">      </w:t>
            </w:r>
            <w:r>
              <w:rPr>
                <w:rFonts w:hint="eastAsia" w:ascii="楷体_GB2312" w:eastAsia="楷体_GB2312"/>
                <w:sz w:val="24"/>
                <w:szCs w:val="24"/>
              </w:rPr>
              <w:t xml:space="preserve">家企业  </w:t>
            </w:r>
            <w:r>
              <w:rPr>
                <w:rFonts w:hint="eastAsia" w:ascii="楷体_GB2312" w:eastAsia="楷体_GB2312"/>
                <w:sz w:val="24"/>
                <w:szCs w:val="24"/>
                <w:u w:val="single"/>
              </w:rPr>
              <w:t xml:space="preserve">      </w:t>
            </w:r>
            <w:r>
              <w:rPr>
                <w:rFonts w:hint="eastAsia" w:ascii="楷体_GB2312" w:eastAsia="楷体_GB2312"/>
                <w:sz w:val="24"/>
                <w:szCs w:val="24"/>
              </w:rPr>
              <w:t xml:space="preserve">幢  </w:t>
            </w:r>
            <w:r>
              <w:rPr>
                <w:rFonts w:hint="eastAsia" w:ascii="楷体_GB2312" w:eastAsia="楷体_GB2312"/>
                <w:sz w:val="24"/>
                <w:szCs w:val="24"/>
                <w:u w:val="single"/>
              </w:rPr>
              <w:t xml:space="preserve">      </w:t>
            </w:r>
            <w:r>
              <w:rPr>
                <w:rFonts w:hint="eastAsia" w:ascii="楷体_GB2312" w:eastAsia="楷体_GB2312"/>
                <w:sz w:val="24"/>
                <w:szCs w:val="24"/>
              </w:rPr>
              <w:t xml:space="preserve">人  </w:t>
            </w:r>
            <w:r>
              <w:rPr>
                <w:rFonts w:hint="eastAsia" w:ascii="楷体_GB2312" w:eastAsia="楷体_GB2312"/>
                <w:sz w:val="24"/>
                <w:szCs w:val="24"/>
                <w:u w:val="single"/>
              </w:rPr>
              <w:t xml:space="preserve">      </w:t>
            </w:r>
            <w:r>
              <w:rPr>
                <w:rFonts w:hint="eastAsia" w:ascii="楷体_GB2312" w:eastAsia="楷体_GB2312"/>
                <w:sz w:val="24"/>
                <w:szCs w:val="24"/>
              </w:rPr>
              <w:t>平方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6" w:hRule="atLeast"/>
          <w:jc w:val="center"/>
        </w:trPr>
        <w:tc>
          <w:tcPr>
            <w:tcW w:w="606" w:type="dxa"/>
            <w:vMerge w:val="continue"/>
            <w:vAlign w:val="center"/>
          </w:tcPr>
          <w:p>
            <w:pPr>
              <w:jc w:val="center"/>
              <w:rPr>
                <w:rFonts w:ascii="楷体_GB2312" w:eastAsia="楷体_GB2312"/>
                <w:sz w:val="24"/>
                <w:szCs w:val="24"/>
              </w:rPr>
            </w:pPr>
          </w:p>
        </w:tc>
        <w:tc>
          <w:tcPr>
            <w:tcW w:w="1134" w:type="dxa"/>
            <w:vMerge w:val="continue"/>
            <w:vAlign w:val="center"/>
          </w:tcPr>
          <w:p>
            <w:pPr>
              <w:jc w:val="center"/>
              <w:rPr>
                <w:rFonts w:ascii="楷体_GB2312" w:eastAsia="楷体_GB2312"/>
                <w:sz w:val="24"/>
                <w:szCs w:val="24"/>
              </w:rPr>
            </w:pPr>
          </w:p>
        </w:tc>
        <w:tc>
          <w:tcPr>
            <w:tcW w:w="7738" w:type="dxa"/>
            <w:gridSpan w:val="6"/>
            <w:vAlign w:val="center"/>
          </w:tcPr>
          <w:p>
            <w:pPr>
              <w:jc w:val="center"/>
              <w:rPr>
                <w:rFonts w:ascii="楷体_GB2312" w:eastAsia="楷体_GB2312"/>
                <w:sz w:val="24"/>
                <w:szCs w:val="24"/>
                <w:u w:val="single"/>
              </w:rPr>
            </w:pPr>
            <w:r>
              <w:rPr>
                <w:rFonts w:hint="eastAsia" w:ascii="楷体_GB2312" w:eastAsia="楷体_GB2312"/>
                <w:sz w:val="24"/>
                <w:szCs w:val="24"/>
              </w:rPr>
              <w:t>国家级□   省级□   市级□   县级□   镇级□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4" w:hRule="atLeast"/>
          <w:jc w:val="center"/>
        </w:trPr>
        <w:tc>
          <w:tcPr>
            <w:tcW w:w="606" w:type="dxa"/>
            <w:vMerge w:val="continue"/>
            <w:vAlign w:val="center"/>
          </w:tcPr>
          <w:p>
            <w:pPr>
              <w:jc w:val="center"/>
              <w:rPr>
                <w:rFonts w:ascii="楷体_GB2312" w:eastAsia="楷体_GB2312"/>
                <w:sz w:val="24"/>
                <w:szCs w:val="24"/>
              </w:rPr>
            </w:pPr>
          </w:p>
        </w:tc>
        <w:tc>
          <w:tcPr>
            <w:tcW w:w="1134" w:type="dxa"/>
            <w:vMerge w:val="continue"/>
            <w:vAlign w:val="center"/>
          </w:tcPr>
          <w:p>
            <w:pPr>
              <w:jc w:val="center"/>
              <w:rPr>
                <w:rFonts w:ascii="楷体_GB2312" w:eastAsia="楷体_GB2312"/>
                <w:sz w:val="24"/>
                <w:szCs w:val="24"/>
              </w:rPr>
            </w:pPr>
          </w:p>
        </w:tc>
        <w:tc>
          <w:tcPr>
            <w:tcW w:w="7738" w:type="dxa"/>
            <w:gridSpan w:val="6"/>
            <w:vAlign w:val="center"/>
          </w:tcPr>
          <w:p>
            <w:pPr>
              <w:jc w:val="center"/>
              <w:rPr>
                <w:rFonts w:ascii="楷体_GB2312" w:eastAsia="楷体_GB2312"/>
                <w:sz w:val="24"/>
                <w:szCs w:val="24"/>
              </w:rPr>
            </w:pPr>
            <w:r>
              <w:rPr>
                <w:rFonts w:hint="eastAsia" w:ascii="楷体_GB2312" w:eastAsia="楷体_GB2312"/>
                <w:sz w:val="24"/>
                <w:szCs w:val="24"/>
              </w:rPr>
              <w:t>纳管企业是否办理排水许可证：是□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8" w:hRule="atLeast"/>
          <w:jc w:val="center"/>
        </w:trPr>
        <w:tc>
          <w:tcPr>
            <w:tcW w:w="606" w:type="dxa"/>
            <w:vMerge w:val="continue"/>
            <w:vAlign w:val="center"/>
          </w:tcPr>
          <w:p>
            <w:pPr>
              <w:ind w:firstLine="240" w:firstLineChars="100"/>
              <w:jc w:val="center"/>
              <w:rPr>
                <w:rFonts w:ascii="楷体_GB2312" w:eastAsia="楷体_GB2312"/>
                <w:sz w:val="24"/>
                <w:szCs w:val="24"/>
              </w:rPr>
            </w:pPr>
          </w:p>
        </w:tc>
        <w:tc>
          <w:tcPr>
            <w:tcW w:w="1134" w:type="dxa"/>
            <w:vMerge w:val="restart"/>
            <w:vAlign w:val="center"/>
          </w:tcPr>
          <w:p>
            <w:pPr>
              <w:jc w:val="center"/>
              <w:rPr>
                <w:rFonts w:ascii="楷体_GB2312" w:eastAsia="楷体_GB2312"/>
                <w:sz w:val="24"/>
                <w:szCs w:val="24"/>
              </w:rPr>
            </w:pPr>
            <w:r>
              <w:rPr>
                <w:rFonts w:hint="eastAsia" w:ascii="楷体_GB2312" w:eastAsia="楷体_GB2312"/>
                <w:sz w:val="24"/>
                <w:szCs w:val="24"/>
              </w:rPr>
              <w:t>生活小区类</w:t>
            </w:r>
          </w:p>
        </w:tc>
        <w:tc>
          <w:tcPr>
            <w:tcW w:w="7738" w:type="dxa"/>
            <w:gridSpan w:val="6"/>
            <w:vAlign w:val="center"/>
          </w:tcPr>
          <w:p>
            <w:pPr>
              <w:ind w:firstLine="480" w:firstLineChars="200"/>
              <w:rPr>
                <w:rFonts w:ascii="楷体_GB2312" w:eastAsia="楷体_GB2312"/>
                <w:sz w:val="24"/>
                <w:szCs w:val="24"/>
              </w:rPr>
            </w:pPr>
            <w:r>
              <w:rPr>
                <w:rFonts w:hint="eastAsia" w:ascii="楷体_GB2312" w:eastAsia="楷体_GB2312"/>
                <w:sz w:val="24"/>
                <w:szCs w:val="24"/>
              </w:rPr>
              <w:t xml:space="preserve">□新旧商品房                 □农转居安置小区  </w:t>
            </w:r>
          </w:p>
          <w:p>
            <w:pPr>
              <w:ind w:firstLine="480" w:firstLineChars="200"/>
              <w:rPr>
                <w:rFonts w:ascii="楷体_GB2312" w:eastAsia="楷体_GB2312"/>
                <w:sz w:val="24"/>
                <w:szCs w:val="24"/>
              </w:rPr>
            </w:pPr>
          </w:p>
          <w:p>
            <w:pPr>
              <w:ind w:firstLine="480" w:firstLineChars="200"/>
              <w:rPr>
                <w:rFonts w:ascii="楷体_GB2312" w:eastAsia="楷体_GB2312"/>
                <w:sz w:val="24"/>
                <w:szCs w:val="24"/>
              </w:rPr>
            </w:pPr>
            <w:r>
              <w:rPr>
                <w:rFonts w:hint="eastAsia" w:ascii="楷体_GB2312" w:eastAsia="楷体_GB2312"/>
                <w:sz w:val="24"/>
                <w:szCs w:val="24"/>
              </w:rPr>
              <w:t>□整改后保留的城中村         □特色小镇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jc w:val="center"/>
        </w:trPr>
        <w:tc>
          <w:tcPr>
            <w:tcW w:w="606" w:type="dxa"/>
            <w:vMerge w:val="continue"/>
            <w:vAlign w:val="center"/>
          </w:tcPr>
          <w:p>
            <w:pPr>
              <w:ind w:firstLine="240" w:firstLineChars="100"/>
              <w:jc w:val="center"/>
              <w:rPr>
                <w:rFonts w:ascii="楷体_GB2312" w:eastAsia="楷体_GB2312"/>
                <w:sz w:val="24"/>
                <w:szCs w:val="24"/>
              </w:rPr>
            </w:pPr>
          </w:p>
        </w:tc>
        <w:tc>
          <w:tcPr>
            <w:tcW w:w="1134" w:type="dxa"/>
            <w:vMerge w:val="continue"/>
            <w:vAlign w:val="center"/>
          </w:tcPr>
          <w:p>
            <w:pPr>
              <w:jc w:val="center"/>
              <w:rPr>
                <w:rFonts w:ascii="楷体_GB2312" w:eastAsia="楷体_GB2312"/>
                <w:sz w:val="24"/>
                <w:szCs w:val="24"/>
              </w:rPr>
            </w:pPr>
          </w:p>
        </w:tc>
        <w:tc>
          <w:tcPr>
            <w:tcW w:w="2551" w:type="dxa"/>
            <w:vAlign w:val="center"/>
          </w:tcPr>
          <w:p>
            <w:pPr>
              <w:jc w:val="center"/>
              <w:rPr>
                <w:rFonts w:ascii="楷体_GB2312" w:eastAsia="楷体_GB2312"/>
                <w:sz w:val="24"/>
                <w:szCs w:val="24"/>
              </w:rPr>
            </w:pPr>
            <w:r>
              <w:rPr>
                <w:rFonts w:hint="eastAsia" w:ascii="楷体_GB2312" w:eastAsia="楷体_GB2312"/>
                <w:sz w:val="24"/>
                <w:szCs w:val="24"/>
              </w:rPr>
              <w:t>排水单元规模</w:t>
            </w:r>
          </w:p>
        </w:tc>
        <w:tc>
          <w:tcPr>
            <w:tcW w:w="5187" w:type="dxa"/>
            <w:gridSpan w:val="5"/>
            <w:vAlign w:val="center"/>
          </w:tcPr>
          <w:p>
            <w:pPr>
              <w:ind w:firstLine="240" w:firstLineChars="100"/>
              <w:rPr>
                <w:rFonts w:ascii="楷体_GB2312" w:eastAsia="楷体_GB2312"/>
                <w:sz w:val="24"/>
                <w:szCs w:val="24"/>
              </w:rPr>
            </w:pPr>
            <w:r>
              <w:rPr>
                <w:rFonts w:hint="eastAsia" w:ascii="楷体_GB2312" w:eastAsia="楷体_GB2312"/>
                <w:sz w:val="24"/>
                <w:szCs w:val="24"/>
                <w:u w:val="single"/>
              </w:rPr>
              <w:t xml:space="preserve">      </w:t>
            </w:r>
            <w:r>
              <w:rPr>
                <w:rFonts w:hint="eastAsia" w:ascii="楷体_GB2312" w:eastAsia="楷体_GB2312"/>
                <w:sz w:val="24"/>
                <w:szCs w:val="24"/>
              </w:rPr>
              <w:t xml:space="preserve">幢  </w:t>
            </w:r>
            <w:r>
              <w:rPr>
                <w:rFonts w:hint="eastAsia" w:ascii="楷体_GB2312" w:eastAsia="楷体_GB2312"/>
                <w:sz w:val="24"/>
                <w:szCs w:val="24"/>
                <w:u w:val="single"/>
              </w:rPr>
              <w:t xml:space="preserve">      </w:t>
            </w:r>
            <w:r>
              <w:rPr>
                <w:rFonts w:hint="eastAsia" w:ascii="楷体_GB2312" w:eastAsia="楷体_GB2312"/>
                <w:sz w:val="24"/>
                <w:szCs w:val="24"/>
              </w:rPr>
              <w:t xml:space="preserve">户 </w:t>
            </w:r>
            <w:r>
              <w:rPr>
                <w:rFonts w:hint="eastAsia" w:ascii="楷体_GB2312" w:eastAsia="楷体_GB2312"/>
                <w:sz w:val="24"/>
                <w:szCs w:val="24"/>
                <w:u w:val="single"/>
              </w:rPr>
              <w:t xml:space="preserve">      </w:t>
            </w:r>
            <w:r>
              <w:rPr>
                <w:rFonts w:hint="eastAsia" w:ascii="楷体_GB2312" w:eastAsia="楷体_GB2312"/>
                <w:sz w:val="24"/>
                <w:szCs w:val="24"/>
              </w:rPr>
              <w:t>人</w:t>
            </w:r>
            <w:r>
              <w:rPr>
                <w:rFonts w:hint="eastAsia" w:ascii="楷体_GB2312" w:eastAsia="楷体_GB2312"/>
                <w:sz w:val="24"/>
                <w:szCs w:val="24"/>
                <w:u w:val="single"/>
              </w:rPr>
              <w:t xml:space="preserve">      </w:t>
            </w:r>
            <w:r>
              <w:rPr>
                <w:rFonts w:hint="eastAsia" w:ascii="楷体_GB2312" w:eastAsia="楷体_GB2312"/>
                <w:sz w:val="24"/>
                <w:szCs w:val="24"/>
              </w:rPr>
              <w:t>平方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1" w:hRule="atLeast"/>
          <w:jc w:val="center"/>
        </w:trPr>
        <w:tc>
          <w:tcPr>
            <w:tcW w:w="606" w:type="dxa"/>
            <w:vMerge w:val="continue"/>
            <w:vAlign w:val="center"/>
          </w:tcPr>
          <w:p>
            <w:pPr>
              <w:ind w:firstLine="240" w:firstLineChars="100"/>
              <w:jc w:val="center"/>
              <w:rPr>
                <w:rFonts w:ascii="楷体_GB2312" w:eastAsia="楷体_GB2312"/>
                <w:sz w:val="24"/>
                <w:szCs w:val="24"/>
              </w:rPr>
            </w:pPr>
          </w:p>
        </w:tc>
        <w:tc>
          <w:tcPr>
            <w:tcW w:w="1134" w:type="dxa"/>
            <w:vMerge w:val="restart"/>
            <w:vAlign w:val="center"/>
          </w:tcPr>
          <w:p>
            <w:pPr>
              <w:jc w:val="center"/>
              <w:rPr>
                <w:rFonts w:ascii="楷体_GB2312" w:eastAsia="楷体_GB2312"/>
                <w:sz w:val="24"/>
                <w:szCs w:val="24"/>
              </w:rPr>
            </w:pPr>
            <w:r>
              <w:rPr>
                <w:rFonts w:hint="eastAsia" w:ascii="楷体_GB2312" w:eastAsia="楷体_GB2312"/>
                <w:sz w:val="24"/>
                <w:szCs w:val="24"/>
              </w:rPr>
              <w:t>其他类</w:t>
            </w:r>
          </w:p>
        </w:tc>
        <w:tc>
          <w:tcPr>
            <w:tcW w:w="7738" w:type="dxa"/>
            <w:gridSpan w:val="6"/>
            <w:vAlign w:val="center"/>
          </w:tcPr>
          <w:p>
            <w:pPr>
              <w:ind w:left="640" w:leftChars="200"/>
              <w:rPr>
                <w:rFonts w:ascii="楷体_GB2312" w:eastAsia="楷体_GB2312"/>
                <w:sz w:val="24"/>
                <w:szCs w:val="24"/>
              </w:rPr>
            </w:pPr>
            <w:r>
              <w:rPr>
                <w:rFonts w:hint="eastAsia" w:ascii="楷体_GB2312" w:eastAsia="楷体_GB2312"/>
                <w:sz w:val="24"/>
                <w:szCs w:val="24"/>
              </w:rPr>
              <w:t>□商用楼宇   □公建设施   □医院   □学校   □农贸市场</w:t>
            </w:r>
          </w:p>
          <w:p>
            <w:pPr>
              <w:ind w:left="640" w:leftChars="200"/>
              <w:rPr>
                <w:rFonts w:ascii="楷体_GB2312" w:eastAsia="楷体_GB2312"/>
                <w:sz w:val="24"/>
                <w:szCs w:val="24"/>
              </w:rPr>
            </w:pPr>
          </w:p>
          <w:p>
            <w:pPr>
              <w:ind w:left="640" w:leftChars="200"/>
              <w:rPr>
                <w:rFonts w:ascii="楷体_GB2312" w:eastAsia="楷体_GB2312"/>
                <w:sz w:val="24"/>
                <w:szCs w:val="24"/>
              </w:rPr>
            </w:pPr>
            <w:r>
              <w:rPr>
                <w:rFonts w:hint="eastAsia" w:ascii="楷体_GB2312" w:eastAsia="楷体_GB2312"/>
                <w:sz w:val="24"/>
                <w:szCs w:val="24"/>
              </w:rPr>
              <w:t xml:space="preserve">□机关事业单位   □在建工地   □小行业   □工业企业（园区外）   </w:t>
            </w:r>
          </w:p>
          <w:p>
            <w:pPr>
              <w:ind w:left="640" w:leftChars="200"/>
              <w:rPr>
                <w:rFonts w:ascii="楷体_GB2312" w:eastAsia="楷体_GB2312"/>
                <w:sz w:val="24"/>
                <w:szCs w:val="24"/>
              </w:rPr>
            </w:pPr>
          </w:p>
          <w:p>
            <w:pPr>
              <w:ind w:left="640" w:leftChars="200"/>
              <w:rPr>
                <w:rFonts w:ascii="楷体_GB2312" w:eastAsia="楷体_GB2312"/>
                <w:sz w:val="24"/>
                <w:szCs w:val="24"/>
              </w:rPr>
            </w:pPr>
            <w:r>
              <w:rPr>
                <w:rFonts w:hint="eastAsia" w:ascii="楷体_GB2312" w:eastAsia="楷体_GB2312"/>
                <w:sz w:val="24"/>
                <w:szCs w:val="24"/>
              </w:rPr>
              <w:t>□其他</w:t>
            </w:r>
            <w:r>
              <w:rPr>
                <w:rFonts w:hint="eastAsia" w:ascii="楷体_GB2312" w:eastAsia="楷体_GB2312"/>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6" w:hRule="atLeast"/>
          <w:jc w:val="center"/>
        </w:trPr>
        <w:tc>
          <w:tcPr>
            <w:tcW w:w="606" w:type="dxa"/>
            <w:vMerge w:val="continue"/>
            <w:vAlign w:val="center"/>
          </w:tcPr>
          <w:p>
            <w:pPr>
              <w:ind w:firstLine="240" w:firstLineChars="100"/>
              <w:jc w:val="center"/>
              <w:rPr>
                <w:rFonts w:ascii="楷体_GB2312" w:eastAsia="楷体_GB2312"/>
                <w:sz w:val="24"/>
                <w:szCs w:val="24"/>
              </w:rPr>
            </w:pPr>
          </w:p>
        </w:tc>
        <w:tc>
          <w:tcPr>
            <w:tcW w:w="1134" w:type="dxa"/>
            <w:vMerge w:val="continue"/>
            <w:vAlign w:val="center"/>
          </w:tcPr>
          <w:p>
            <w:pPr>
              <w:jc w:val="center"/>
              <w:rPr>
                <w:rFonts w:ascii="楷体_GB2312" w:eastAsia="楷体_GB2312"/>
                <w:sz w:val="24"/>
                <w:szCs w:val="24"/>
              </w:rPr>
            </w:pPr>
          </w:p>
        </w:tc>
        <w:tc>
          <w:tcPr>
            <w:tcW w:w="7738" w:type="dxa"/>
            <w:gridSpan w:val="6"/>
            <w:vAlign w:val="center"/>
          </w:tcPr>
          <w:p>
            <w:pPr>
              <w:ind w:left="640" w:leftChars="200"/>
              <w:rPr>
                <w:rFonts w:ascii="楷体_GB2312" w:eastAsia="楷体_GB2312"/>
                <w:sz w:val="24"/>
                <w:szCs w:val="24"/>
              </w:rPr>
            </w:pPr>
            <w:r>
              <w:rPr>
                <w:rFonts w:hint="eastAsia" w:ascii="楷体_GB2312" w:eastAsia="楷体_GB2312"/>
                <w:sz w:val="24"/>
                <w:szCs w:val="24"/>
              </w:rPr>
              <w:t>是否办理排水许可证：是□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9" w:hRule="atLeast"/>
          <w:jc w:val="center"/>
        </w:trPr>
        <w:tc>
          <w:tcPr>
            <w:tcW w:w="606" w:type="dxa"/>
            <w:vMerge w:val="continue"/>
            <w:vAlign w:val="center"/>
          </w:tcPr>
          <w:p>
            <w:pPr>
              <w:ind w:firstLine="240" w:firstLineChars="100"/>
              <w:jc w:val="center"/>
              <w:rPr>
                <w:rFonts w:ascii="楷体_GB2312" w:eastAsia="楷体_GB2312"/>
                <w:sz w:val="24"/>
                <w:szCs w:val="24"/>
              </w:rPr>
            </w:pPr>
          </w:p>
        </w:tc>
        <w:tc>
          <w:tcPr>
            <w:tcW w:w="1134" w:type="dxa"/>
            <w:vMerge w:val="continue"/>
            <w:vAlign w:val="center"/>
          </w:tcPr>
          <w:p>
            <w:pPr>
              <w:jc w:val="center"/>
              <w:rPr>
                <w:rFonts w:ascii="楷体_GB2312" w:eastAsia="楷体_GB2312"/>
                <w:sz w:val="24"/>
                <w:szCs w:val="24"/>
              </w:rPr>
            </w:pPr>
          </w:p>
        </w:tc>
        <w:tc>
          <w:tcPr>
            <w:tcW w:w="2551" w:type="dxa"/>
            <w:vAlign w:val="center"/>
          </w:tcPr>
          <w:p>
            <w:pPr>
              <w:jc w:val="center"/>
              <w:rPr>
                <w:rFonts w:ascii="楷体_GB2312" w:eastAsia="楷体_GB2312"/>
                <w:sz w:val="24"/>
                <w:szCs w:val="24"/>
              </w:rPr>
            </w:pPr>
            <w:r>
              <w:rPr>
                <w:rFonts w:hint="eastAsia" w:ascii="楷体_GB2312" w:eastAsia="楷体_GB2312"/>
                <w:sz w:val="24"/>
                <w:szCs w:val="24"/>
              </w:rPr>
              <w:t>排水单元规模</w:t>
            </w:r>
          </w:p>
        </w:tc>
        <w:tc>
          <w:tcPr>
            <w:tcW w:w="5187" w:type="dxa"/>
            <w:gridSpan w:val="5"/>
          </w:tcPr>
          <w:p>
            <w:pPr>
              <w:ind w:firstLine="5640" w:firstLineChars="2350"/>
              <w:rPr>
                <w:rFonts w:ascii="楷体_GB2312" w:eastAsia="楷体_GB2312"/>
                <w:sz w:val="24"/>
                <w:szCs w:val="24"/>
              </w:rPr>
            </w:pPr>
            <w:r>
              <w:rPr>
                <w:rFonts w:hint="eastAsia" w:ascii="楷体_GB2312" w:eastAsia="楷体_GB2312"/>
                <w:sz w:val="24"/>
                <w:szCs w:val="24"/>
              </w:rPr>
              <w:t xml:space="preserve">幢       </w:t>
            </w:r>
            <w:r>
              <w:rPr>
                <w:rFonts w:hint="eastAsia" w:ascii="楷体_GB2312" w:eastAsia="楷体_GB2312"/>
                <w:sz w:val="24"/>
                <w:szCs w:val="24"/>
                <w:u w:val="single"/>
              </w:rPr>
              <w:t xml:space="preserve">      </w:t>
            </w:r>
            <w:r>
              <w:rPr>
                <w:rFonts w:hint="eastAsia" w:ascii="楷体_GB2312" w:eastAsia="楷体_GB2312"/>
                <w:sz w:val="24"/>
                <w:szCs w:val="24"/>
              </w:rPr>
              <w:t xml:space="preserve">幢  </w:t>
            </w:r>
            <w:r>
              <w:rPr>
                <w:rFonts w:hint="eastAsia" w:ascii="楷体_GB2312" w:eastAsia="楷体_GB2312"/>
                <w:sz w:val="24"/>
                <w:szCs w:val="24"/>
                <w:u w:val="single"/>
              </w:rPr>
              <w:t xml:space="preserve">      </w:t>
            </w:r>
            <w:r>
              <w:rPr>
                <w:rFonts w:hint="eastAsia" w:ascii="楷体_GB2312" w:eastAsia="楷体_GB2312"/>
                <w:sz w:val="24"/>
                <w:szCs w:val="24"/>
              </w:rPr>
              <w:t xml:space="preserve">人  </w:t>
            </w:r>
            <w:r>
              <w:rPr>
                <w:rFonts w:hint="eastAsia" w:ascii="楷体_GB2312" w:eastAsia="楷体_GB2312"/>
                <w:sz w:val="24"/>
                <w:szCs w:val="24"/>
                <w:u w:val="single"/>
              </w:rPr>
              <w:t xml:space="preserve">      </w:t>
            </w:r>
            <w:r>
              <w:rPr>
                <w:rFonts w:hint="eastAsia" w:ascii="楷体_GB2312" w:eastAsia="楷体_GB2312"/>
                <w:sz w:val="24"/>
                <w:szCs w:val="24"/>
              </w:rPr>
              <w:t>平方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9" w:hRule="atLeast"/>
          <w:jc w:val="center"/>
        </w:trPr>
        <w:tc>
          <w:tcPr>
            <w:tcW w:w="1740" w:type="dxa"/>
            <w:gridSpan w:val="2"/>
            <w:vAlign w:val="center"/>
          </w:tcPr>
          <w:p>
            <w:pPr>
              <w:jc w:val="center"/>
              <w:rPr>
                <w:rFonts w:ascii="楷体_GB2312" w:eastAsia="楷体_GB2312"/>
                <w:sz w:val="24"/>
                <w:szCs w:val="24"/>
              </w:rPr>
            </w:pPr>
            <w:r>
              <w:rPr>
                <w:rFonts w:hint="eastAsia" w:ascii="楷体_GB2312" w:eastAsia="楷体_GB2312"/>
                <w:sz w:val="24"/>
                <w:szCs w:val="24"/>
              </w:rPr>
              <w:t>现状雨、污水去向（接管预留井位置）</w:t>
            </w:r>
          </w:p>
        </w:tc>
        <w:tc>
          <w:tcPr>
            <w:tcW w:w="7738" w:type="dxa"/>
            <w:gridSpan w:val="6"/>
            <w:vAlign w:val="center"/>
          </w:tcPr>
          <w:p>
            <w:pPr>
              <w:rPr>
                <w:rFonts w:ascii="楷体_GB2312" w:eastAsia="楷体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23" w:hRule="atLeast"/>
          <w:jc w:val="center"/>
        </w:trPr>
        <w:tc>
          <w:tcPr>
            <w:tcW w:w="1740" w:type="dxa"/>
            <w:gridSpan w:val="2"/>
            <w:tcBorders>
              <w:top w:val="single" w:color="auto" w:sz="4" w:space="0"/>
              <w:left w:val="single" w:color="auto" w:sz="4" w:space="0"/>
              <w:right w:val="single" w:color="auto" w:sz="4" w:space="0"/>
            </w:tcBorders>
            <w:vAlign w:val="center"/>
          </w:tcPr>
          <w:p>
            <w:pPr>
              <w:jc w:val="center"/>
              <w:rPr>
                <w:rFonts w:ascii="楷体_GB2312" w:eastAsia="楷体_GB2312"/>
                <w:sz w:val="24"/>
                <w:szCs w:val="24"/>
              </w:rPr>
            </w:pPr>
            <w:r>
              <w:rPr>
                <w:rFonts w:hint="eastAsia" w:ascii="楷体_GB2312" w:eastAsia="楷体_GB2312"/>
                <w:sz w:val="24"/>
                <w:szCs w:val="24"/>
              </w:rPr>
              <w:t>其他需说明的情况</w:t>
            </w:r>
          </w:p>
        </w:tc>
        <w:tc>
          <w:tcPr>
            <w:tcW w:w="7738" w:type="dxa"/>
            <w:gridSpan w:val="6"/>
            <w:tcBorders>
              <w:top w:val="single" w:color="auto" w:sz="4" w:space="0"/>
              <w:left w:val="single" w:color="auto" w:sz="4" w:space="0"/>
              <w:right w:val="single" w:color="auto" w:sz="4" w:space="0"/>
            </w:tcBorders>
            <w:vAlign w:val="center"/>
          </w:tcPr>
          <w:p>
            <w:pPr>
              <w:spacing w:line="360" w:lineRule="auto"/>
              <w:jc w:val="left"/>
              <w:rPr>
                <w:rFonts w:ascii="楷体_GB2312" w:eastAsia="楷体_GB2312"/>
                <w:sz w:val="24"/>
                <w:szCs w:val="24"/>
              </w:rPr>
            </w:pPr>
          </w:p>
        </w:tc>
      </w:tr>
    </w:tbl>
    <w:p>
      <w:pPr>
        <w:rPr>
          <w:rFonts w:eastAsia="宋体"/>
          <w:sz w:val="21"/>
          <w:szCs w:val="24"/>
        </w:rPr>
      </w:pPr>
      <w:r>
        <w:rPr>
          <w:rFonts w:hint="eastAsia" w:eastAsia="宋体"/>
          <w:sz w:val="21"/>
          <w:szCs w:val="24"/>
        </w:rPr>
        <w:t xml:space="preserve">注： </w:t>
      </w:r>
    </w:p>
    <w:p>
      <w:pPr>
        <w:ind w:left="360" w:leftChars="1" w:hanging="357" w:hangingChars="170"/>
        <w:rPr>
          <w:rFonts w:eastAsia="宋体"/>
          <w:sz w:val="21"/>
          <w:szCs w:val="24"/>
        </w:rPr>
      </w:pPr>
      <w:r>
        <w:rPr>
          <w:rFonts w:hint="eastAsia" w:eastAsia="宋体"/>
          <w:sz w:val="21"/>
          <w:szCs w:val="24"/>
        </w:rPr>
        <w:t>1.确保普查工作覆盖辖区内所有排水户，做到统计工作不遗漏。</w:t>
      </w:r>
    </w:p>
    <w:p>
      <w:pPr>
        <w:rPr>
          <w:rFonts w:eastAsia="宋体"/>
          <w:sz w:val="21"/>
          <w:szCs w:val="24"/>
        </w:rPr>
      </w:pPr>
      <w:r>
        <w:rPr>
          <w:rFonts w:hint="eastAsia" w:eastAsia="宋体"/>
          <w:sz w:val="21"/>
          <w:szCs w:val="24"/>
        </w:rPr>
        <w:t>2.生活小区、工业园区（工业集聚区）、商用楼宇等大型设施内部的小型排水户不单独列入统计，做到统计不重复。</w:t>
      </w:r>
    </w:p>
    <w:p>
      <w:pPr>
        <w:rPr>
          <w:rFonts w:ascii="仿宋_GB2312" w:hAnsi="宋体"/>
          <w:sz w:val="28"/>
          <w:szCs w:val="28"/>
        </w:rPr>
      </w:pPr>
      <w:r>
        <w:rPr>
          <w:rFonts w:hint="eastAsia" w:eastAsia="宋体"/>
          <w:sz w:val="21"/>
          <w:szCs w:val="24"/>
        </w:rPr>
        <w:t>3.商用楼宇包含办公写字楼、商业综合体、大型宾馆酒店等；小行业包含小餐饮、小洗浴、小作坊、足浴保健、美容美发、洗衣等。</w:t>
      </w:r>
    </w:p>
    <w:p>
      <w:pPr>
        <w:rPr>
          <w:rFonts w:ascii="仿宋_GB2312" w:hAnsi="宋体"/>
          <w:sz w:val="28"/>
          <w:szCs w:val="28"/>
        </w:rPr>
        <w:sectPr>
          <w:footerReference r:id="rId3" w:type="default"/>
          <w:footerReference r:id="rId4" w:type="even"/>
          <w:pgSz w:w="11906" w:h="16838"/>
          <w:pgMar w:top="1440" w:right="1800" w:bottom="1440" w:left="1800" w:header="851" w:footer="992" w:gutter="0"/>
          <w:cols w:space="720" w:num="1"/>
          <w:docGrid w:type="lines" w:linePitch="312" w:charSpace="0"/>
        </w:sectPr>
      </w:pPr>
    </w:p>
    <w:p>
      <w:pPr>
        <w:rPr>
          <w:rFonts w:ascii="楷体" w:hAnsi="楷体" w:eastAsia="楷体" w:cs="楷体"/>
          <w:sz w:val="28"/>
          <w:szCs w:val="28"/>
        </w:rPr>
      </w:pPr>
      <w:r>
        <w:rPr>
          <w:rFonts w:hint="eastAsia" w:ascii="楷体" w:hAnsi="楷体" w:eastAsia="楷体" w:cs="楷体"/>
          <w:sz w:val="28"/>
          <w:szCs w:val="28"/>
        </w:rPr>
        <w:t>附件1.2</w:t>
      </w:r>
    </w:p>
    <w:p>
      <w:pPr>
        <w:jc w:val="center"/>
        <w:rPr>
          <w:rFonts w:ascii="方正小标宋简体" w:eastAsia="方正小标宋简体"/>
          <w:b/>
          <w:bCs/>
          <w:sz w:val="36"/>
          <w:szCs w:val="28"/>
        </w:rPr>
      </w:pPr>
      <w:r>
        <w:rPr>
          <w:rFonts w:hint="eastAsia" w:ascii="方正小标宋简体" w:eastAsia="方正小标宋简体"/>
          <w:b/>
          <w:bCs/>
          <w:sz w:val="36"/>
          <w:szCs w:val="28"/>
          <w:u w:val="single"/>
        </w:rPr>
        <w:t xml:space="preserve">               镇（</w:t>
      </w:r>
      <w:r>
        <w:rPr>
          <w:rFonts w:hint="eastAsia" w:ascii="方正小标宋简体" w:eastAsia="方正小标宋简体"/>
          <w:b/>
          <w:bCs/>
          <w:sz w:val="36"/>
          <w:szCs w:val="28"/>
        </w:rPr>
        <w:t>街道）排水用户统计表</w:t>
      </w:r>
    </w:p>
    <w:tbl>
      <w:tblPr>
        <w:tblStyle w:val="6"/>
        <w:tblW w:w="13268" w:type="dxa"/>
        <w:jc w:val="center"/>
        <w:tblInd w:w="0" w:type="dxa"/>
        <w:tblLayout w:type="fixed"/>
        <w:tblCellMar>
          <w:top w:w="15" w:type="dxa"/>
          <w:left w:w="15" w:type="dxa"/>
          <w:bottom w:w="15" w:type="dxa"/>
          <w:right w:w="15" w:type="dxa"/>
        </w:tblCellMar>
      </w:tblPr>
      <w:tblGrid>
        <w:gridCol w:w="402"/>
        <w:gridCol w:w="402"/>
        <w:gridCol w:w="1832"/>
        <w:gridCol w:w="800"/>
        <w:gridCol w:w="1064"/>
        <w:gridCol w:w="1327"/>
        <w:gridCol w:w="666"/>
        <w:gridCol w:w="666"/>
        <w:gridCol w:w="666"/>
        <w:gridCol w:w="401"/>
        <w:gridCol w:w="401"/>
        <w:gridCol w:w="666"/>
        <w:gridCol w:w="931"/>
        <w:gridCol w:w="666"/>
        <w:gridCol w:w="533"/>
        <w:gridCol w:w="1436"/>
        <w:gridCol w:w="409"/>
      </w:tblGrid>
      <w:tr>
        <w:tblPrEx>
          <w:tblLayout w:type="fixed"/>
          <w:tblCellMar>
            <w:top w:w="15" w:type="dxa"/>
            <w:left w:w="15" w:type="dxa"/>
            <w:bottom w:w="15" w:type="dxa"/>
            <w:right w:w="15" w:type="dxa"/>
          </w:tblCellMar>
        </w:tblPrEx>
        <w:trPr>
          <w:trHeight w:val="390" w:hRule="atLeast"/>
          <w:jc w:val="center"/>
        </w:trPr>
        <w:tc>
          <w:tcPr>
            <w:tcW w:w="402"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楷体_GB2312" w:hAnsi="楷体" w:eastAsia="楷体_GB2312" w:cs="楷体"/>
                <w:bCs/>
                <w:color w:val="000000"/>
                <w:sz w:val="24"/>
                <w:szCs w:val="24"/>
              </w:rPr>
            </w:pPr>
            <w:r>
              <w:rPr>
                <w:rFonts w:hint="eastAsia" w:ascii="楷体_GB2312" w:hAnsi="楷体" w:eastAsia="楷体_GB2312" w:cs="楷体"/>
                <w:bCs/>
                <w:color w:val="000000"/>
                <w:kern w:val="0"/>
                <w:sz w:val="24"/>
                <w:szCs w:val="24"/>
              </w:rPr>
              <w:t>序号</w:t>
            </w:r>
          </w:p>
        </w:tc>
        <w:tc>
          <w:tcPr>
            <w:tcW w:w="402"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楷体_GB2312" w:hAnsi="楷体" w:eastAsia="楷体_GB2312" w:cs="楷体"/>
                <w:bCs/>
                <w:color w:val="000000"/>
                <w:sz w:val="24"/>
                <w:szCs w:val="24"/>
              </w:rPr>
            </w:pPr>
            <w:r>
              <w:rPr>
                <w:rFonts w:hint="eastAsia" w:ascii="楷体_GB2312" w:hAnsi="楷体" w:eastAsia="楷体_GB2312" w:cs="楷体"/>
                <w:bCs/>
                <w:color w:val="000000"/>
                <w:kern w:val="0"/>
                <w:sz w:val="24"/>
                <w:szCs w:val="24"/>
              </w:rPr>
              <w:t>社区</w:t>
            </w:r>
          </w:p>
        </w:tc>
        <w:tc>
          <w:tcPr>
            <w:tcW w:w="1832"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楷体_GB2312" w:hAnsi="楷体" w:eastAsia="楷体_GB2312" w:cs="楷体"/>
                <w:bCs/>
                <w:color w:val="000000"/>
                <w:sz w:val="24"/>
                <w:szCs w:val="24"/>
              </w:rPr>
            </w:pPr>
            <w:r>
              <w:rPr>
                <w:rFonts w:hint="eastAsia" w:ascii="楷体_GB2312" w:hAnsi="楷体" w:eastAsia="楷体_GB2312" w:cs="楷体"/>
                <w:bCs/>
                <w:color w:val="000000"/>
                <w:kern w:val="0"/>
                <w:sz w:val="24"/>
                <w:szCs w:val="24"/>
              </w:rPr>
              <w:t>工业园区（工业集聚区）类</w:t>
            </w:r>
          </w:p>
        </w:tc>
        <w:tc>
          <w:tcPr>
            <w:tcW w:w="3857" w:type="dxa"/>
            <w:gridSpan w:val="4"/>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楷体_GB2312" w:hAnsi="楷体" w:eastAsia="楷体_GB2312" w:cs="楷体"/>
                <w:bCs/>
                <w:color w:val="000000"/>
                <w:sz w:val="24"/>
                <w:szCs w:val="24"/>
              </w:rPr>
            </w:pPr>
            <w:r>
              <w:rPr>
                <w:rFonts w:hint="eastAsia" w:ascii="楷体_GB2312" w:hAnsi="楷体" w:eastAsia="楷体_GB2312" w:cs="楷体"/>
                <w:bCs/>
                <w:color w:val="000000"/>
                <w:kern w:val="0"/>
                <w:sz w:val="24"/>
                <w:szCs w:val="24"/>
              </w:rPr>
              <w:t>生活小区类</w:t>
            </w:r>
          </w:p>
        </w:tc>
        <w:tc>
          <w:tcPr>
            <w:tcW w:w="6775" w:type="dxa"/>
            <w:gridSpan w:val="10"/>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楷体_GB2312" w:hAnsi="楷体" w:eastAsia="楷体_GB2312" w:cs="楷体"/>
                <w:bCs/>
                <w:color w:val="000000"/>
                <w:sz w:val="24"/>
                <w:szCs w:val="24"/>
              </w:rPr>
            </w:pPr>
            <w:r>
              <w:rPr>
                <w:rFonts w:hint="eastAsia" w:ascii="楷体_GB2312" w:hAnsi="楷体" w:eastAsia="楷体_GB2312" w:cs="楷体"/>
                <w:bCs/>
                <w:color w:val="000000"/>
                <w:kern w:val="0"/>
                <w:sz w:val="24"/>
                <w:szCs w:val="24"/>
              </w:rPr>
              <w:t>其他类</w:t>
            </w:r>
          </w:p>
        </w:tc>
      </w:tr>
      <w:tr>
        <w:tblPrEx>
          <w:tblLayout w:type="fixed"/>
          <w:tblCellMar>
            <w:top w:w="15" w:type="dxa"/>
            <w:left w:w="15" w:type="dxa"/>
            <w:bottom w:w="15" w:type="dxa"/>
            <w:right w:w="15" w:type="dxa"/>
          </w:tblCellMar>
        </w:tblPrEx>
        <w:trPr>
          <w:trHeight w:val="795" w:hRule="atLeast"/>
          <w:jc w:val="center"/>
        </w:trPr>
        <w:tc>
          <w:tcPr>
            <w:tcW w:w="4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楷体_GB2312" w:hAnsi="楷体" w:eastAsia="楷体_GB2312" w:cs="楷体"/>
                <w:bCs/>
                <w:color w:val="000000"/>
                <w:sz w:val="24"/>
                <w:szCs w:val="24"/>
              </w:rPr>
            </w:pPr>
          </w:p>
        </w:tc>
        <w:tc>
          <w:tcPr>
            <w:tcW w:w="4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楷体_GB2312" w:hAnsi="楷体" w:eastAsia="楷体_GB2312" w:cs="楷体"/>
                <w:bCs/>
                <w:color w:val="000000"/>
                <w:sz w:val="24"/>
                <w:szCs w:val="24"/>
              </w:rPr>
            </w:pPr>
          </w:p>
        </w:tc>
        <w:tc>
          <w:tcPr>
            <w:tcW w:w="183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楷体_GB2312" w:hAnsi="楷体" w:eastAsia="楷体_GB2312" w:cs="楷体"/>
                <w:bCs/>
                <w:color w:val="000000"/>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楷体_GB2312" w:hAnsi="楷体" w:eastAsia="楷体_GB2312" w:cs="楷体"/>
                <w:bCs/>
                <w:color w:val="000000"/>
                <w:sz w:val="24"/>
                <w:szCs w:val="24"/>
              </w:rPr>
            </w:pPr>
            <w:r>
              <w:rPr>
                <w:rFonts w:hint="eastAsia" w:ascii="楷体_GB2312" w:hAnsi="楷体" w:eastAsia="楷体_GB2312" w:cs="楷体"/>
                <w:bCs/>
                <w:color w:val="000000"/>
                <w:kern w:val="0"/>
                <w:sz w:val="24"/>
                <w:szCs w:val="24"/>
              </w:rPr>
              <w:t>新旧商品房</w:t>
            </w:r>
          </w:p>
        </w:tc>
        <w:tc>
          <w:tcPr>
            <w:tcW w:w="106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楷体_GB2312" w:hAnsi="楷体" w:eastAsia="楷体_GB2312" w:cs="楷体"/>
                <w:bCs/>
                <w:color w:val="000000"/>
                <w:sz w:val="24"/>
                <w:szCs w:val="24"/>
              </w:rPr>
            </w:pPr>
            <w:r>
              <w:rPr>
                <w:rFonts w:hint="eastAsia" w:ascii="楷体_GB2312" w:hAnsi="楷体" w:eastAsia="楷体_GB2312" w:cs="楷体"/>
                <w:bCs/>
                <w:color w:val="000000"/>
                <w:kern w:val="0"/>
                <w:sz w:val="24"/>
                <w:szCs w:val="24"/>
              </w:rPr>
              <w:t>农转居安置小区</w:t>
            </w:r>
          </w:p>
        </w:tc>
        <w:tc>
          <w:tcPr>
            <w:tcW w:w="1327" w:type="dxa"/>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ascii="楷体_GB2312" w:hAnsi="楷体" w:eastAsia="楷体_GB2312" w:cs="楷体"/>
                <w:bCs/>
                <w:color w:val="000000"/>
                <w:sz w:val="24"/>
                <w:szCs w:val="24"/>
              </w:rPr>
            </w:pPr>
            <w:r>
              <w:rPr>
                <w:rFonts w:hint="eastAsia" w:ascii="楷体_GB2312" w:hAnsi="楷体" w:eastAsia="楷体_GB2312" w:cs="楷体"/>
                <w:bCs/>
                <w:color w:val="000000"/>
                <w:kern w:val="0"/>
                <w:sz w:val="24"/>
                <w:szCs w:val="24"/>
              </w:rPr>
              <w:t>整改后保留的城中村</w:t>
            </w:r>
          </w:p>
        </w:tc>
        <w:tc>
          <w:tcPr>
            <w:tcW w:w="666" w:type="dxa"/>
            <w:tcBorders>
              <w:top w:val="single" w:color="000000" w:sz="4" w:space="0"/>
              <w:left w:val="single" w:color="auto" w:sz="4" w:space="0"/>
              <w:bottom w:val="single" w:color="000000" w:sz="4" w:space="0"/>
              <w:right w:val="single" w:color="000000" w:sz="4" w:space="0"/>
            </w:tcBorders>
            <w:vAlign w:val="center"/>
          </w:tcPr>
          <w:p>
            <w:pPr>
              <w:widowControl/>
              <w:jc w:val="center"/>
              <w:textAlignment w:val="center"/>
              <w:rPr>
                <w:rFonts w:ascii="楷体_GB2312" w:hAnsi="楷体" w:eastAsia="楷体_GB2312" w:cs="楷体"/>
                <w:bCs/>
                <w:color w:val="000000"/>
                <w:sz w:val="24"/>
                <w:szCs w:val="24"/>
              </w:rPr>
            </w:pPr>
            <w:r>
              <w:rPr>
                <w:rFonts w:hint="eastAsia" w:ascii="楷体_GB2312" w:hAnsi="楷体" w:eastAsia="楷体_GB2312" w:cs="楷体"/>
                <w:bCs/>
                <w:color w:val="000000"/>
                <w:sz w:val="24"/>
                <w:szCs w:val="24"/>
              </w:rPr>
              <w:t>特色小镇</w:t>
            </w:r>
          </w:p>
        </w:tc>
        <w:tc>
          <w:tcPr>
            <w:tcW w:w="66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楷体_GB2312" w:hAnsi="楷体" w:eastAsia="楷体_GB2312" w:cs="楷体"/>
                <w:bCs/>
                <w:color w:val="000000"/>
                <w:sz w:val="24"/>
                <w:szCs w:val="24"/>
              </w:rPr>
            </w:pPr>
            <w:r>
              <w:rPr>
                <w:rFonts w:hint="eastAsia" w:ascii="楷体_GB2312" w:hAnsi="楷体" w:eastAsia="楷体_GB2312" w:cs="楷体"/>
                <w:bCs/>
                <w:color w:val="000000"/>
                <w:kern w:val="0"/>
                <w:sz w:val="24"/>
                <w:szCs w:val="24"/>
              </w:rPr>
              <w:t>商用楼宇</w:t>
            </w:r>
          </w:p>
        </w:tc>
        <w:tc>
          <w:tcPr>
            <w:tcW w:w="66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楷体_GB2312" w:hAnsi="楷体" w:eastAsia="楷体_GB2312" w:cs="楷体"/>
                <w:bCs/>
                <w:color w:val="000000"/>
                <w:sz w:val="24"/>
                <w:szCs w:val="24"/>
              </w:rPr>
            </w:pPr>
            <w:r>
              <w:rPr>
                <w:rFonts w:hint="eastAsia" w:ascii="楷体_GB2312" w:hAnsi="楷体" w:eastAsia="楷体_GB2312" w:cs="楷体"/>
                <w:bCs/>
                <w:color w:val="000000"/>
                <w:kern w:val="0"/>
                <w:sz w:val="24"/>
                <w:szCs w:val="24"/>
              </w:rPr>
              <w:t>公建设施</w:t>
            </w:r>
          </w:p>
        </w:tc>
        <w:tc>
          <w:tcPr>
            <w:tcW w:w="40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楷体_GB2312" w:hAnsi="楷体" w:eastAsia="楷体_GB2312" w:cs="楷体"/>
                <w:bCs/>
                <w:color w:val="000000"/>
                <w:sz w:val="24"/>
                <w:szCs w:val="24"/>
              </w:rPr>
            </w:pPr>
            <w:r>
              <w:rPr>
                <w:rFonts w:hint="eastAsia" w:ascii="楷体_GB2312" w:hAnsi="楷体" w:eastAsia="楷体_GB2312" w:cs="楷体"/>
                <w:bCs/>
                <w:color w:val="000000"/>
                <w:kern w:val="0"/>
                <w:sz w:val="24"/>
                <w:szCs w:val="24"/>
              </w:rPr>
              <w:t>医院</w:t>
            </w:r>
          </w:p>
        </w:tc>
        <w:tc>
          <w:tcPr>
            <w:tcW w:w="40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楷体_GB2312" w:hAnsi="楷体" w:eastAsia="楷体_GB2312" w:cs="楷体"/>
                <w:bCs/>
                <w:color w:val="000000"/>
                <w:sz w:val="24"/>
                <w:szCs w:val="24"/>
              </w:rPr>
            </w:pPr>
            <w:r>
              <w:rPr>
                <w:rFonts w:hint="eastAsia" w:ascii="楷体_GB2312" w:hAnsi="楷体" w:eastAsia="楷体_GB2312" w:cs="楷体"/>
                <w:bCs/>
                <w:color w:val="000000"/>
                <w:kern w:val="0"/>
                <w:sz w:val="24"/>
                <w:szCs w:val="24"/>
              </w:rPr>
              <w:t>学校</w:t>
            </w:r>
          </w:p>
        </w:tc>
        <w:tc>
          <w:tcPr>
            <w:tcW w:w="66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楷体_GB2312" w:hAnsi="楷体" w:eastAsia="楷体_GB2312" w:cs="楷体"/>
                <w:bCs/>
                <w:color w:val="000000"/>
                <w:sz w:val="24"/>
                <w:szCs w:val="24"/>
              </w:rPr>
            </w:pPr>
            <w:r>
              <w:rPr>
                <w:rFonts w:hint="eastAsia" w:ascii="楷体_GB2312" w:hAnsi="楷体" w:eastAsia="楷体_GB2312" w:cs="楷体"/>
                <w:bCs/>
                <w:color w:val="000000"/>
                <w:kern w:val="0"/>
                <w:sz w:val="24"/>
                <w:szCs w:val="24"/>
              </w:rPr>
              <w:t>农贸市场</w:t>
            </w:r>
          </w:p>
        </w:tc>
        <w:tc>
          <w:tcPr>
            <w:tcW w:w="93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楷体_GB2312" w:hAnsi="楷体" w:eastAsia="楷体_GB2312" w:cs="楷体"/>
                <w:bCs/>
                <w:color w:val="000000"/>
                <w:sz w:val="24"/>
                <w:szCs w:val="24"/>
              </w:rPr>
            </w:pPr>
            <w:r>
              <w:rPr>
                <w:rFonts w:hint="eastAsia" w:ascii="楷体_GB2312" w:hAnsi="楷体" w:eastAsia="楷体_GB2312" w:cs="楷体"/>
                <w:bCs/>
                <w:color w:val="000000"/>
                <w:kern w:val="0"/>
                <w:sz w:val="24"/>
                <w:szCs w:val="24"/>
              </w:rPr>
              <w:t>机关事业单位</w:t>
            </w:r>
          </w:p>
        </w:tc>
        <w:tc>
          <w:tcPr>
            <w:tcW w:w="666" w:type="dxa"/>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ascii="楷体_GB2312" w:hAnsi="楷体" w:eastAsia="楷体_GB2312" w:cs="楷体"/>
                <w:bCs/>
                <w:color w:val="000000"/>
                <w:sz w:val="24"/>
                <w:szCs w:val="24"/>
              </w:rPr>
            </w:pPr>
            <w:r>
              <w:rPr>
                <w:rFonts w:hint="eastAsia" w:ascii="楷体_GB2312" w:hAnsi="楷体" w:eastAsia="楷体_GB2312" w:cs="楷体"/>
                <w:bCs/>
                <w:color w:val="000000"/>
                <w:kern w:val="0"/>
                <w:sz w:val="24"/>
                <w:szCs w:val="24"/>
              </w:rPr>
              <w:t>在建工地</w:t>
            </w:r>
          </w:p>
        </w:tc>
        <w:tc>
          <w:tcPr>
            <w:tcW w:w="533" w:type="dxa"/>
            <w:tcBorders>
              <w:top w:val="single" w:color="000000" w:sz="4" w:space="0"/>
              <w:left w:val="single" w:color="auto" w:sz="4" w:space="0"/>
              <w:bottom w:val="single" w:color="000000" w:sz="4" w:space="0"/>
              <w:right w:val="single" w:color="000000" w:sz="4" w:space="0"/>
            </w:tcBorders>
            <w:vAlign w:val="center"/>
          </w:tcPr>
          <w:p>
            <w:pPr>
              <w:widowControl/>
              <w:jc w:val="center"/>
              <w:textAlignment w:val="center"/>
              <w:rPr>
                <w:rFonts w:ascii="楷体_GB2312" w:hAnsi="楷体" w:eastAsia="楷体_GB2312" w:cs="楷体"/>
                <w:bCs/>
                <w:color w:val="000000"/>
                <w:sz w:val="24"/>
                <w:szCs w:val="24"/>
              </w:rPr>
            </w:pPr>
            <w:r>
              <w:rPr>
                <w:rFonts w:hint="eastAsia" w:ascii="楷体_GB2312" w:hAnsi="楷体" w:eastAsia="楷体_GB2312" w:cs="楷体"/>
                <w:bCs/>
                <w:color w:val="000000"/>
                <w:sz w:val="24"/>
                <w:szCs w:val="24"/>
              </w:rPr>
              <w:t>小行业</w:t>
            </w:r>
          </w:p>
        </w:tc>
        <w:tc>
          <w:tcPr>
            <w:tcW w:w="1436" w:type="dxa"/>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ascii="楷体_GB2312" w:hAnsi="楷体" w:eastAsia="楷体_GB2312" w:cs="楷体"/>
                <w:bCs/>
                <w:color w:val="000000"/>
                <w:sz w:val="24"/>
                <w:szCs w:val="24"/>
              </w:rPr>
            </w:pPr>
            <w:r>
              <w:rPr>
                <w:rFonts w:hint="eastAsia" w:ascii="楷体_GB2312" w:hAnsi="楷体" w:eastAsia="楷体_GB2312" w:cs="楷体"/>
                <w:bCs/>
                <w:color w:val="000000"/>
                <w:sz w:val="24"/>
                <w:szCs w:val="24"/>
              </w:rPr>
              <w:t>工业企业（园区外）</w:t>
            </w:r>
          </w:p>
        </w:tc>
        <w:tc>
          <w:tcPr>
            <w:tcW w:w="409" w:type="dxa"/>
            <w:tcBorders>
              <w:top w:val="single" w:color="000000" w:sz="4" w:space="0"/>
              <w:left w:val="single" w:color="auto" w:sz="4" w:space="0"/>
              <w:bottom w:val="single" w:color="000000" w:sz="4" w:space="0"/>
              <w:right w:val="single" w:color="000000" w:sz="4" w:space="0"/>
            </w:tcBorders>
            <w:vAlign w:val="center"/>
          </w:tcPr>
          <w:p>
            <w:pPr>
              <w:widowControl/>
              <w:jc w:val="center"/>
              <w:textAlignment w:val="center"/>
              <w:rPr>
                <w:rFonts w:ascii="楷体_GB2312" w:hAnsi="楷体" w:eastAsia="楷体_GB2312" w:cs="楷体"/>
                <w:bCs/>
                <w:color w:val="000000"/>
                <w:kern w:val="0"/>
                <w:sz w:val="24"/>
                <w:szCs w:val="24"/>
              </w:rPr>
            </w:pPr>
            <w:r>
              <w:rPr>
                <w:rFonts w:hint="eastAsia" w:ascii="楷体_GB2312" w:hAnsi="楷体" w:eastAsia="楷体_GB2312" w:cs="楷体"/>
                <w:bCs/>
                <w:color w:val="000000"/>
                <w:kern w:val="0"/>
                <w:sz w:val="24"/>
                <w:szCs w:val="24"/>
              </w:rPr>
              <w:t>其他</w:t>
            </w:r>
          </w:p>
        </w:tc>
      </w:tr>
      <w:tr>
        <w:tblPrEx>
          <w:tblLayout w:type="fixed"/>
          <w:tblCellMar>
            <w:top w:w="15" w:type="dxa"/>
            <w:left w:w="15" w:type="dxa"/>
            <w:bottom w:w="15" w:type="dxa"/>
            <w:right w:w="15" w:type="dxa"/>
          </w:tblCellMar>
        </w:tblPrEx>
        <w:trPr>
          <w:trHeight w:val="375" w:hRule="atLeast"/>
          <w:jc w:val="center"/>
        </w:trPr>
        <w:tc>
          <w:tcPr>
            <w:tcW w:w="402" w:type="dxa"/>
            <w:tcBorders>
              <w:top w:val="single" w:color="000000" w:sz="4" w:space="0"/>
              <w:left w:val="single" w:color="000000" w:sz="4" w:space="0"/>
              <w:bottom w:val="single" w:color="auto" w:sz="4" w:space="0"/>
              <w:right w:val="single" w:color="000000" w:sz="4" w:space="0"/>
            </w:tcBorders>
            <w:vAlign w:val="center"/>
          </w:tcPr>
          <w:p>
            <w:pPr>
              <w:jc w:val="center"/>
              <w:rPr>
                <w:rFonts w:ascii="楷体" w:hAnsi="楷体" w:eastAsia="楷体" w:cs="楷体"/>
                <w:bCs/>
                <w:color w:val="000000"/>
                <w:sz w:val="24"/>
                <w:szCs w:val="24"/>
              </w:rPr>
            </w:pPr>
          </w:p>
        </w:tc>
        <w:tc>
          <w:tcPr>
            <w:tcW w:w="402" w:type="dxa"/>
            <w:tcBorders>
              <w:top w:val="single" w:color="000000" w:sz="4" w:space="0"/>
              <w:left w:val="single" w:color="000000" w:sz="4" w:space="0"/>
              <w:bottom w:val="single" w:color="auto" w:sz="4" w:space="0"/>
              <w:right w:val="single" w:color="000000" w:sz="4" w:space="0"/>
            </w:tcBorders>
            <w:vAlign w:val="center"/>
          </w:tcPr>
          <w:p>
            <w:pPr>
              <w:rPr>
                <w:rFonts w:ascii="楷体" w:hAnsi="楷体" w:eastAsia="楷体" w:cs="楷体"/>
                <w:bCs/>
                <w:color w:val="000000"/>
                <w:sz w:val="24"/>
                <w:szCs w:val="24"/>
              </w:rPr>
            </w:pPr>
          </w:p>
        </w:tc>
        <w:tc>
          <w:tcPr>
            <w:tcW w:w="1832"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064"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327"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40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40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93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533"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436"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409"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r>
      <w:tr>
        <w:tblPrEx>
          <w:tblLayout w:type="fixed"/>
          <w:tblCellMar>
            <w:top w:w="15" w:type="dxa"/>
            <w:left w:w="15" w:type="dxa"/>
            <w:bottom w:w="15" w:type="dxa"/>
            <w:right w:w="15" w:type="dxa"/>
          </w:tblCellMar>
        </w:tblPrEx>
        <w:trPr>
          <w:trHeight w:val="375" w:hRule="atLeast"/>
          <w:jc w:val="center"/>
        </w:trPr>
        <w:tc>
          <w:tcPr>
            <w:tcW w:w="402" w:type="dxa"/>
            <w:tcBorders>
              <w:top w:val="single" w:color="auto" w:sz="4" w:space="0"/>
              <w:left w:val="single" w:color="000000" w:sz="4" w:space="0"/>
              <w:bottom w:val="single" w:color="auto" w:sz="4" w:space="0"/>
              <w:right w:val="single" w:color="000000" w:sz="4" w:space="0"/>
            </w:tcBorders>
            <w:vAlign w:val="center"/>
          </w:tcPr>
          <w:p>
            <w:pPr>
              <w:jc w:val="center"/>
              <w:rPr>
                <w:rFonts w:ascii="楷体" w:hAnsi="楷体" w:eastAsia="楷体" w:cs="楷体"/>
                <w:bCs/>
                <w:color w:val="000000"/>
                <w:sz w:val="24"/>
                <w:szCs w:val="24"/>
              </w:rPr>
            </w:pPr>
          </w:p>
        </w:tc>
        <w:tc>
          <w:tcPr>
            <w:tcW w:w="402" w:type="dxa"/>
            <w:tcBorders>
              <w:top w:val="single" w:color="auto"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832"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064"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327"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40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40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93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533"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436"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409"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r>
      <w:tr>
        <w:tblPrEx>
          <w:tblLayout w:type="fixed"/>
          <w:tblCellMar>
            <w:top w:w="15" w:type="dxa"/>
            <w:left w:w="15" w:type="dxa"/>
            <w:bottom w:w="15" w:type="dxa"/>
            <w:right w:w="15" w:type="dxa"/>
          </w:tblCellMar>
        </w:tblPrEx>
        <w:trPr>
          <w:trHeight w:val="375" w:hRule="atLeast"/>
          <w:jc w:val="center"/>
        </w:trPr>
        <w:tc>
          <w:tcPr>
            <w:tcW w:w="402" w:type="dxa"/>
            <w:tcBorders>
              <w:top w:val="single" w:color="auto" w:sz="4" w:space="0"/>
              <w:left w:val="single" w:color="000000" w:sz="4" w:space="0"/>
              <w:bottom w:val="single" w:color="auto" w:sz="4" w:space="0"/>
              <w:right w:val="single" w:color="000000" w:sz="4" w:space="0"/>
            </w:tcBorders>
            <w:vAlign w:val="center"/>
          </w:tcPr>
          <w:p>
            <w:pPr>
              <w:jc w:val="center"/>
              <w:rPr>
                <w:rFonts w:ascii="楷体" w:hAnsi="楷体" w:eastAsia="楷体" w:cs="楷体"/>
                <w:bCs/>
                <w:color w:val="000000"/>
                <w:sz w:val="24"/>
                <w:szCs w:val="24"/>
              </w:rPr>
            </w:pPr>
          </w:p>
        </w:tc>
        <w:tc>
          <w:tcPr>
            <w:tcW w:w="402"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832"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064"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327"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40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40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93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533"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436"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409"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r>
      <w:tr>
        <w:tblPrEx>
          <w:tblLayout w:type="fixed"/>
          <w:tblCellMar>
            <w:top w:w="15" w:type="dxa"/>
            <w:left w:w="15" w:type="dxa"/>
            <w:bottom w:w="15" w:type="dxa"/>
            <w:right w:w="15" w:type="dxa"/>
          </w:tblCellMar>
        </w:tblPrEx>
        <w:trPr>
          <w:trHeight w:val="375" w:hRule="atLeast"/>
          <w:jc w:val="center"/>
        </w:trPr>
        <w:tc>
          <w:tcPr>
            <w:tcW w:w="402" w:type="dxa"/>
            <w:tcBorders>
              <w:top w:val="single" w:color="auto" w:sz="4" w:space="0"/>
              <w:left w:val="single" w:color="000000" w:sz="4" w:space="0"/>
              <w:bottom w:val="single" w:color="auto" w:sz="4" w:space="0"/>
              <w:right w:val="single" w:color="000000" w:sz="4" w:space="0"/>
            </w:tcBorders>
            <w:vAlign w:val="center"/>
          </w:tcPr>
          <w:p>
            <w:pPr>
              <w:jc w:val="center"/>
              <w:rPr>
                <w:rFonts w:ascii="楷体" w:hAnsi="楷体" w:eastAsia="楷体" w:cs="楷体"/>
                <w:bCs/>
                <w:color w:val="000000"/>
                <w:sz w:val="24"/>
                <w:szCs w:val="24"/>
              </w:rPr>
            </w:pPr>
          </w:p>
        </w:tc>
        <w:tc>
          <w:tcPr>
            <w:tcW w:w="402"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832"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064"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327"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40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40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93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533"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436"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409"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r>
      <w:tr>
        <w:tblPrEx>
          <w:tblLayout w:type="fixed"/>
          <w:tblCellMar>
            <w:top w:w="15" w:type="dxa"/>
            <w:left w:w="15" w:type="dxa"/>
            <w:bottom w:w="15" w:type="dxa"/>
            <w:right w:w="15" w:type="dxa"/>
          </w:tblCellMar>
        </w:tblPrEx>
        <w:trPr>
          <w:trHeight w:val="375" w:hRule="atLeast"/>
          <w:jc w:val="center"/>
        </w:trPr>
        <w:tc>
          <w:tcPr>
            <w:tcW w:w="402" w:type="dxa"/>
            <w:tcBorders>
              <w:top w:val="single" w:color="auto" w:sz="4" w:space="0"/>
              <w:left w:val="single" w:color="000000" w:sz="4" w:space="0"/>
              <w:bottom w:val="single" w:color="auto" w:sz="4" w:space="0"/>
              <w:right w:val="single" w:color="000000" w:sz="4" w:space="0"/>
            </w:tcBorders>
            <w:vAlign w:val="center"/>
          </w:tcPr>
          <w:p>
            <w:pPr>
              <w:jc w:val="center"/>
              <w:rPr>
                <w:rFonts w:ascii="楷体" w:hAnsi="楷体" w:eastAsia="楷体" w:cs="楷体"/>
                <w:bCs/>
                <w:color w:val="000000"/>
                <w:sz w:val="24"/>
                <w:szCs w:val="24"/>
              </w:rPr>
            </w:pPr>
          </w:p>
        </w:tc>
        <w:tc>
          <w:tcPr>
            <w:tcW w:w="402"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832"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064"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327"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40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40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93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533"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436"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409"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r>
      <w:tr>
        <w:tblPrEx>
          <w:tblLayout w:type="fixed"/>
          <w:tblCellMar>
            <w:top w:w="15" w:type="dxa"/>
            <w:left w:w="15" w:type="dxa"/>
            <w:bottom w:w="15" w:type="dxa"/>
            <w:right w:w="15" w:type="dxa"/>
          </w:tblCellMar>
        </w:tblPrEx>
        <w:trPr>
          <w:trHeight w:val="375" w:hRule="atLeast"/>
          <w:jc w:val="center"/>
        </w:trPr>
        <w:tc>
          <w:tcPr>
            <w:tcW w:w="402" w:type="dxa"/>
            <w:tcBorders>
              <w:top w:val="single" w:color="auto" w:sz="4" w:space="0"/>
              <w:left w:val="single" w:color="000000" w:sz="4" w:space="0"/>
              <w:bottom w:val="single" w:color="auto" w:sz="4" w:space="0"/>
              <w:right w:val="single" w:color="000000" w:sz="4" w:space="0"/>
            </w:tcBorders>
            <w:vAlign w:val="center"/>
          </w:tcPr>
          <w:p>
            <w:pPr>
              <w:jc w:val="center"/>
              <w:rPr>
                <w:rFonts w:ascii="楷体" w:hAnsi="楷体" w:eastAsia="楷体" w:cs="楷体"/>
                <w:bCs/>
                <w:color w:val="000000"/>
                <w:sz w:val="24"/>
                <w:szCs w:val="24"/>
              </w:rPr>
            </w:pPr>
          </w:p>
        </w:tc>
        <w:tc>
          <w:tcPr>
            <w:tcW w:w="402"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832"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064"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327"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40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40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93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533"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436"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409"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r>
      <w:tr>
        <w:tblPrEx>
          <w:tblLayout w:type="fixed"/>
          <w:tblCellMar>
            <w:top w:w="15" w:type="dxa"/>
            <w:left w:w="15" w:type="dxa"/>
            <w:bottom w:w="15" w:type="dxa"/>
            <w:right w:w="15" w:type="dxa"/>
          </w:tblCellMar>
        </w:tblPrEx>
        <w:trPr>
          <w:trHeight w:val="375" w:hRule="atLeast"/>
          <w:jc w:val="center"/>
        </w:trPr>
        <w:tc>
          <w:tcPr>
            <w:tcW w:w="402" w:type="dxa"/>
            <w:tcBorders>
              <w:top w:val="single" w:color="auto" w:sz="4" w:space="0"/>
              <w:left w:val="single" w:color="000000" w:sz="4" w:space="0"/>
              <w:bottom w:val="single" w:color="auto" w:sz="4" w:space="0"/>
              <w:right w:val="single" w:color="000000" w:sz="4" w:space="0"/>
            </w:tcBorders>
            <w:vAlign w:val="center"/>
          </w:tcPr>
          <w:p>
            <w:pPr>
              <w:jc w:val="center"/>
              <w:rPr>
                <w:rFonts w:ascii="楷体" w:hAnsi="楷体" w:eastAsia="楷体" w:cs="楷体"/>
                <w:bCs/>
                <w:color w:val="000000"/>
                <w:sz w:val="24"/>
                <w:szCs w:val="24"/>
              </w:rPr>
            </w:pPr>
          </w:p>
        </w:tc>
        <w:tc>
          <w:tcPr>
            <w:tcW w:w="402"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832"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064"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327"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40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40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93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533"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436"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409"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r>
      <w:tr>
        <w:tblPrEx>
          <w:tblLayout w:type="fixed"/>
          <w:tblCellMar>
            <w:top w:w="15" w:type="dxa"/>
            <w:left w:w="15" w:type="dxa"/>
            <w:bottom w:w="15" w:type="dxa"/>
            <w:right w:w="15" w:type="dxa"/>
          </w:tblCellMar>
        </w:tblPrEx>
        <w:trPr>
          <w:trHeight w:val="375" w:hRule="atLeast"/>
          <w:jc w:val="center"/>
        </w:trPr>
        <w:tc>
          <w:tcPr>
            <w:tcW w:w="402" w:type="dxa"/>
            <w:tcBorders>
              <w:top w:val="single" w:color="auto" w:sz="4" w:space="0"/>
              <w:left w:val="single" w:color="000000" w:sz="4" w:space="0"/>
              <w:bottom w:val="single" w:color="auto" w:sz="4" w:space="0"/>
              <w:right w:val="single" w:color="000000" w:sz="4" w:space="0"/>
            </w:tcBorders>
            <w:vAlign w:val="center"/>
          </w:tcPr>
          <w:p>
            <w:pPr>
              <w:jc w:val="center"/>
              <w:rPr>
                <w:rFonts w:ascii="楷体" w:hAnsi="楷体" w:eastAsia="楷体" w:cs="楷体"/>
                <w:bCs/>
                <w:color w:val="000000"/>
                <w:sz w:val="24"/>
                <w:szCs w:val="24"/>
              </w:rPr>
            </w:pPr>
          </w:p>
        </w:tc>
        <w:tc>
          <w:tcPr>
            <w:tcW w:w="402"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832"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064"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327"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40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40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93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533"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436"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409"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r>
      <w:tr>
        <w:tblPrEx>
          <w:tblLayout w:type="fixed"/>
          <w:tblCellMar>
            <w:top w:w="15" w:type="dxa"/>
            <w:left w:w="15" w:type="dxa"/>
            <w:bottom w:w="15" w:type="dxa"/>
            <w:right w:w="15" w:type="dxa"/>
          </w:tblCellMar>
        </w:tblPrEx>
        <w:trPr>
          <w:trHeight w:val="375" w:hRule="atLeast"/>
          <w:jc w:val="center"/>
        </w:trPr>
        <w:tc>
          <w:tcPr>
            <w:tcW w:w="402" w:type="dxa"/>
            <w:tcBorders>
              <w:top w:val="single" w:color="auto" w:sz="4" w:space="0"/>
              <w:left w:val="single" w:color="000000" w:sz="4" w:space="0"/>
              <w:bottom w:val="single" w:color="auto" w:sz="4" w:space="0"/>
              <w:right w:val="single" w:color="000000" w:sz="4" w:space="0"/>
            </w:tcBorders>
            <w:vAlign w:val="center"/>
          </w:tcPr>
          <w:p>
            <w:pPr>
              <w:jc w:val="center"/>
              <w:rPr>
                <w:rFonts w:ascii="楷体" w:hAnsi="楷体" w:eastAsia="楷体" w:cs="楷体"/>
                <w:bCs/>
                <w:color w:val="000000"/>
                <w:sz w:val="24"/>
                <w:szCs w:val="24"/>
              </w:rPr>
            </w:pPr>
          </w:p>
        </w:tc>
        <w:tc>
          <w:tcPr>
            <w:tcW w:w="402"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832"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064"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327"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40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40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93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533"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436"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409"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r>
      <w:tr>
        <w:tblPrEx>
          <w:tblLayout w:type="fixed"/>
          <w:tblCellMar>
            <w:top w:w="15" w:type="dxa"/>
            <w:left w:w="15" w:type="dxa"/>
            <w:bottom w:w="15" w:type="dxa"/>
            <w:right w:w="15" w:type="dxa"/>
          </w:tblCellMar>
        </w:tblPrEx>
        <w:trPr>
          <w:trHeight w:val="375" w:hRule="atLeast"/>
          <w:jc w:val="center"/>
        </w:trPr>
        <w:tc>
          <w:tcPr>
            <w:tcW w:w="402" w:type="dxa"/>
            <w:tcBorders>
              <w:top w:val="single" w:color="auto" w:sz="4" w:space="0"/>
              <w:left w:val="single" w:color="000000" w:sz="4" w:space="0"/>
              <w:bottom w:val="single" w:color="auto" w:sz="4" w:space="0"/>
              <w:right w:val="single" w:color="000000" w:sz="4" w:space="0"/>
            </w:tcBorders>
            <w:vAlign w:val="center"/>
          </w:tcPr>
          <w:p>
            <w:pPr>
              <w:jc w:val="center"/>
              <w:rPr>
                <w:rFonts w:ascii="楷体" w:hAnsi="楷体" w:eastAsia="楷体" w:cs="楷体"/>
                <w:bCs/>
                <w:color w:val="000000"/>
                <w:sz w:val="24"/>
                <w:szCs w:val="24"/>
              </w:rPr>
            </w:pPr>
          </w:p>
        </w:tc>
        <w:tc>
          <w:tcPr>
            <w:tcW w:w="402"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832"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064"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327"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40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40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93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533"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436"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409"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r>
      <w:tr>
        <w:tblPrEx>
          <w:tblLayout w:type="fixed"/>
          <w:tblCellMar>
            <w:top w:w="15" w:type="dxa"/>
            <w:left w:w="15" w:type="dxa"/>
            <w:bottom w:w="15" w:type="dxa"/>
            <w:right w:w="15" w:type="dxa"/>
          </w:tblCellMar>
        </w:tblPrEx>
        <w:trPr>
          <w:trHeight w:val="375" w:hRule="atLeast"/>
          <w:jc w:val="center"/>
        </w:trPr>
        <w:tc>
          <w:tcPr>
            <w:tcW w:w="402" w:type="dxa"/>
            <w:tcBorders>
              <w:top w:val="single" w:color="auto" w:sz="4" w:space="0"/>
              <w:left w:val="single" w:color="000000" w:sz="4" w:space="0"/>
              <w:bottom w:val="single" w:color="auto" w:sz="4" w:space="0"/>
              <w:right w:val="single" w:color="000000" w:sz="4" w:space="0"/>
            </w:tcBorders>
            <w:vAlign w:val="center"/>
          </w:tcPr>
          <w:p>
            <w:pPr>
              <w:jc w:val="center"/>
              <w:rPr>
                <w:rFonts w:ascii="楷体" w:hAnsi="楷体" w:eastAsia="楷体" w:cs="楷体"/>
                <w:bCs/>
                <w:color w:val="000000"/>
                <w:sz w:val="24"/>
                <w:szCs w:val="24"/>
              </w:rPr>
            </w:pPr>
          </w:p>
        </w:tc>
        <w:tc>
          <w:tcPr>
            <w:tcW w:w="402"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832"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064"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327"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40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40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931" w:type="dxa"/>
            <w:tcBorders>
              <w:top w:val="single" w:color="000000" w:sz="4" w:space="0"/>
              <w:left w:val="single" w:color="000000"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666"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533"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c>
          <w:tcPr>
            <w:tcW w:w="1436" w:type="dxa"/>
            <w:tcBorders>
              <w:top w:val="single" w:color="000000" w:sz="4" w:space="0"/>
              <w:left w:val="single" w:color="000000" w:sz="4" w:space="0"/>
              <w:bottom w:val="single" w:color="000000" w:sz="4" w:space="0"/>
              <w:right w:val="single" w:color="auto" w:sz="4" w:space="0"/>
            </w:tcBorders>
            <w:vAlign w:val="center"/>
          </w:tcPr>
          <w:p>
            <w:pPr>
              <w:rPr>
                <w:rFonts w:ascii="楷体" w:hAnsi="楷体" w:eastAsia="楷体" w:cs="楷体"/>
                <w:bCs/>
                <w:color w:val="000000"/>
                <w:sz w:val="24"/>
                <w:szCs w:val="24"/>
              </w:rPr>
            </w:pPr>
          </w:p>
        </w:tc>
        <w:tc>
          <w:tcPr>
            <w:tcW w:w="409" w:type="dxa"/>
            <w:tcBorders>
              <w:top w:val="single" w:color="000000" w:sz="4" w:space="0"/>
              <w:left w:val="single" w:color="auto" w:sz="4" w:space="0"/>
              <w:bottom w:val="single" w:color="000000" w:sz="4" w:space="0"/>
              <w:right w:val="single" w:color="000000" w:sz="4" w:space="0"/>
            </w:tcBorders>
            <w:vAlign w:val="center"/>
          </w:tcPr>
          <w:p>
            <w:pPr>
              <w:rPr>
                <w:rFonts w:ascii="楷体" w:hAnsi="楷体" w:eastAsia="楷体" w:cs="楷体"/>
                <w:bCs/>
                <w:color w:val="000000"/>
                <w:sz w:val="24"/>
                <w:szCs w:val="24"/>
              </w:rPr>
            </w:pPr>
          </w:p>
        </w:tc>
      </w:tr>
    </w:tbl>
    <w:p>
      <w:pPr>
        <w:rPr>
          <w:rFonts w:ascii="仿宋_GB2312" w:hAnsi="宋体"/>
          <w:sz w:val="28"/>
          <w:szCs w:val="28"/>
        </w:rPr>
      </w:pPr>
    </w:p>
    <w:p>
      <w:pPr>
        <w:rPr>
          <w:rFonts w:ascii="方正小标宋简体" w:eastAsia="方正小标宋简体"/>
          <w:b/>
          <w:bCs/>
          <w:sz w:val="36"/>
          <w:szCs w:val="28"/>
          <w:u w:val="single"/>
        </w:rPr>
      </w:pPr>
      <w:r>
        <w:rPr>
          <w:rFonts w:ascii="仿宋_GB2312" w:hAnsi="宋体"/>
          <w:sz w:val="28"/>
          <w:szCs w:val="28"/>
        </w:rPr>
        <w:br w:type="page"/>
      </w:r>
      <w:r>
        <w:rPr>
          <w:rFonts w:hint="eastAsia" w:ascii="楷体" w:hAnsi="楷体" w:eastAsia="楷体" w:cs="楷体"/>
          <w:sz w:val="28"/>
          <w:szCs w:val="28"/>
        </w:rPr>
        <w:t>附件1.3</w:t>
      </w:r>
    </w:p>
    <w:p>
      <w:pPr>
        <w:jc w:val="center"/>
        <w:rPr>
          <w:rFonts w:ascii="仿宋_GB2312" w:hAnsi="宋体"/>
          <w:sz w:val="28"/>
          <w:szCs w:val="28"/>
        </w:rPr>
      </w:pPr>
      <w:r>
        <w:rPr>
          <w:rFonts w:hint="eastAsia" w:ascii="方正小标宋简体" w:eastAsia="方正小标宋简体"/>
          <w:b/>
          <w:bCs/>
          <w:sz w:val="36"/>
          <w:szCs w:val="28"/>
          <w:u w:val="single"/>
        </w:rPr>
        <w:t xml:space="preserve">          </w:t>
      </w:r>
      <w:r>
        <w:rPr>
          <w:rFonts w:hint="eastAsia" w:ascii="方正小标宋简体" w:eastAsia="方正小标宋简体"/>
          <w:b/>
          <w:bCs/>
          <w:sz w:val="36"/>
          <w:szCs w:val="28"/>
        </w:rPr>
        <w:t>街道排水户问题清单表</w:t>
      </w:r>
    </w:p>
    <w:tbl>
      <w:tblPr>
        <w:tblStyle w:val="6"/>
        <w:tblW w:w="13268" w:type="dxa"/>
        <w:jc w:val="center"/>
        <w:tblInd w:w="0" w:type="dxa"/>
        <w:tblLayout w:type="fixed"/>
        <w:tblCellMar>
          <w:top w:w="15" w:type="dxa"/>
          <w:left w:w="15" w:type="dxa"/>
          <w:bottom w:w="15" w:type="dxa"/>
          <w:right w:w="15" w:type="dxa"/>
        </w:tblCellMar>
      </w:tblPr>
      <w:tblGrid>
        <w:gridCol w:w="802"/>
        <w:gridCol w:w="1559"/>
        <w:gridCol w:w="1938"/>
        <w:gridCol w:w="801"/>
        <w:gridCol w:w="801"/>
        <w:gridCol w:w="1558"/>
        <w:gridCol w:w="1558"/>
        <w:gridCol w:w="3450"/>
        <w:gridCol w:w="801"/>
      </w:tblGrid>
      <w:tr>
        <w:tblPrEx>
          <w:tblLayout w:type="fixed"/>
          <w:tblCellMar>
            <w:top w:w="15" w:type="dxa"/>
            <w:left w:w="15" w:type="dxa"/>
            <w:bottom w:w="15" w:type="dxa"/>
            <w:right w:w="15" w:type="dxa"/>
          </w:tblCellMar>
        </w:tblPrEx>
        <w:trPr>
          <w:trHeight w:val="810" w:hRule="atLeast"/>
          <w:jc w:val="center"/>
        </w:trPr>
        <w:tc>
          <w:tcPr>
            <w:tcW w:w="8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楷体_GB2312" w:hAnsi="宋体" w:eastAsia="楷体_GB2312" w:cs="宋体"/>
                <w:color w:val="000000"/>
                <w:sz w:val="24"/>
                <w:szCs w:val="24"/>
              </w:rPr>
            </w:pPr>
            <w:r>
              <w:rPr>
                <w:rFonts w:hint="eastAsia" w:ascii="楷体_GB2312" w:hAnsi="宋体" w:eastAsia="楷体_GB2312" w:cs="宋体"/>
                <w:color w:val="000000"/>
                <w:kern w:val="0"/>
                <w:sz w:val="24"/>
                <w:szCs w:val="24"/>
              </w:rPr>
              <w:t>序号</w:t>
            </w:r>
          </w:p>
        </w:tc>
        <w:tc>
          <w:tcPr>
            <w:tcW w:w="155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楷体_GB2312" w:hAnsi="宋体" w:eastAsia="楷体_GB2312" w:cs="宋体"/>
                <w:color w:val="000000"/>
                <w:sz w:val="24"/>
                <w:szCs w:val="24"/>
              </w:rPr>
            </w:pPr>
            <w:r>
              <w:rPr>
                <w:rFonts w:hint="eastAsia" w:ascii="楷体_GB2312" w:hAnsi="宋体" w:eastAsia="楷体_GB2312" w:cs="宋体"/>
                <w:color w:val="000000"/>
                <w:kern w:val="0"/>
                <w:sz w:val="24"/>
                <w:szCs w:val="24"/>
              </w:rPr>
              <w:t>所属街道</w:t>
            </w:r>
          </w:p>
        </w:tc>
        <w:tc>
          <w:tcPr>
            <w:tcW w:w="19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楷体_GB2312" w:hAnsi="宋体" w:eastAsia="楷体_GB2312" w:cs="宋体"/>
                <w:color w:val="000000"/>
                <w:sz w:val="24"/>
                <w:szCs w:val="24"/>
              </w:rPr>
            </w:pPr>
            <w:r>
              <w:rPr>
                <w:rFonts w:hint="eastAsia" w:ascii="楷体_GB2312" w:hAnsi="宋体" w:eastAsia="楷体_GB2312" w:cs="宋体"/>
                <w:color w:val="000000"/>
                <w:kern w:val="0"/>
                <w:sz w:val="24"/>
                <w:szCs w:val="24"/>
              </w:rPr>
              <w:t>排水户名称</w:t>
            </w:r>
          </w:p>
        </w:tc>
        <w:tc>
          <w:tcPr>
            <w:tcW w:w="80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楷体_GB2312" w:hAnsi="宋体" w:eastAsia="楷体_GB2312" w:cs="宋体"/>
                <w:color w:val="000000"/>
                <w:sz w:val="24"/>
                <w:szCs w:val="24"/>
              </w:rPr>
            </w:pPr>
            <w:r>
              <w:rPr>
                <w:rFonts w:hint="eastAsia" w:ascii="楷体_GB2312" w:hAnsi="宋体" w:eastAsia="楷体_GB2312" w:cs="宋体"/>
                <w:color w:val="000000"/>
                <w:kern w:val="0"/>
                <w:sz w:val="24"/>
                <w:szCs w:val="24"/>
              </w:rPr>
              <w:t>地址</w:t>
            </w:r>
          </w:p>
        </w:tc>
        <w:tc>
          <w:tcPr>
            <w:tcW w:w="80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楷体_GB2312" w:hAnsi="宋体" w:eastAsia="楷体_GB2312" w:cs="宋体"/>
                <w:color w:val="000000"/>
                <w:sz w:val="24"/>
                <w:szCs w:val="24"/>
              </w:rPr>
            </w:pPr>
            <w:r>
              <w:rPr>
                <w:rFonts w:hint="eastAsia" w:ascii="楷体_GB2312" w:hAnsi="宋体" w:eastAsia="楷体_GB2312" w:cs="宋体"/>
                <w:color w:val="000000"/>
                <w:kern w:val="0"/>
                <w:sz w:val="24"/>
                <w:szCs w:val="24"/>
              </w:rPr>
              <w:t>类别</w:t>
            </w:r>
          </w:p>
        </w:tc>
        <w:tc>
          <w:tcPr>
            <w:tcW w:w="155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楷体_GB2312" w:hAnsi="宋体" w:eastAsia="楷体_GB2312" w:cs="宋体"/>
                <w:color w:val="000000"/>
                <w:sz w:val="24"/>
                <w:szCs w:val="24"/>
              </w:rPr>
            </w:pPr>
            <w:r>
              <w:rPr>
                <w:rFonts w:hint="eastAsia" w:ascii="楷体_GB2312" w:hAnsi="宋体" w:eastAsia="楷体_GB2312" w:cs="宋体"/>
                <w:color w:val="000000"/>
                <w:kern w:val="0"/>
                <w:sz w:val="24"/>
                <w:szCs w:val="24"/>
              </w:rPr>
              <w:t>主要问题</w:t>
            </w:r>
          </w:p>
        </w:tc>
        <w:tc>
          <w:tcPr>
            <w:tcW w:w="155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楷体_GB2312" w:hAnsi="宋体" w:eastAsia="楷体_GB2312" w:cs="宋体"/>
                <w:color w:val="000000"/>
                <w:sz w:val="24"/>
                <w:szCs w:val="24"/>
              </w:rPr>
            </w:pPr>
            <w:r>
              <w:rPr>
                <w:rFonts w:hint="eastAsia" w:ascii="楷体_GB2312" w:hAnsi="宋体" w:eastAsia="楷体_GB2312" w:cs="宋体"/>
                <w:color w:val="000000"/>
                <w:kern w:val="0"/>
                <w:sz w:val="24"/>
                <w:szCs w:val="24"/>
              </w:rPr>
              <w:t>对应河道</w:t>
            </w:r>
          </w:p>
        </w:tc>
        <w:tc>
          <w:tcPr>
            <w:tcW w:w="34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楷体_GB2312" w:hAnsi="宋体" w:eastAsia="楷体_GB2312" w:cs="宋体"/>
                <w:color w:val="000000"/>
                <w:sz w:val="24"/>
                <w:szCs w:val="24"/>
              </w:rPr>
            </w:pPr>
            <w:r>
              <w:rPr>
                <w:rFonts w:hint="eastAsia" w:ascii="楷体_GB2312" w:hAnsi="宋体" w:eastAsia="楷体_GB2312" w:cs="宋体"/>
                <w:color w:val="000000"/>
                <w:kern w:val="0"/>
                <w:sz w:val="24"/>
                <w:szCs w:val="24"/>
              </w:rPr>
              <w:t>是否办理排水许可证</w:t>
            </w:r>
          </w:p>
        </w:tc>
        <w:tc>
          <w:tcPr>
            <w:tcW w:w="80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楷体_GB2312" w:hAnsi="宋体" w:eastAsia="楷体_GB2312" w:cs="宋体"/>
                <w:color w:val="000000"/>
                <w:sz w:val="24"/>
                <w:szCs w:val="24"/>
              </w:rPr>
            </w:pPr>
            <w:r>
              <w:rPr>
                <w:rFonts w:hint="eastAsia" w:ascii="楷体_GB2312" w:hAnsi="宋体" w:eastAsia="楷体_GB2312" w:cs="宋体"/>
                <w:color w:val="000000"/>
                <w:kern w:val="0"/>
                <w:sz w:val="24"/>
                <w:szCs w:val="24"/>
              </w:rPr>
              <w:t>备注</w:t>
            </w:r>
          </w:p>
        </w:tc>
      </w:tr>
      <w:tr>
        <w:tblPrEx>
          <w:tblLayout w:type="fixed"/>
          <w:tblCellMar>
            <w:top w:w="15" w:type="dxa"/>
            <w:left w:w="15" w:type="dxa"/>
            <w:bottom w:w="15" w:type="dxa"/>
            <w:right w:w="15" w:type="dxa"/>
          </w:tblCellMar>
        </w:tblPrEx>
        <w:trPr>
          <w:trHeight w:val="285" w:hRule="atLeast"/>
          <w:jc w:val="center"/>
        </w:trPr>
        <w:tc>
          <w:tcPr>
            <w:tcW w:w="80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9"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93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345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r>
      <w:tr>
        <w:tblPrEx>
          <w:tblLayout w:type="fixed"/>
          <w:tblCellMar>
            <w:top w:w="15" w:type="dxa"/>
            <w:left w:w="15" w:type="dxa"/>
            <w:bottom w:w="15" w:type="dxa"/>
            <w:right w:w="15" w:type="dxa"/>
          </w:tblCellMar>
        </w:tblPrEx>
        <w:trPr>
          <w:trHeight w:val="90" w:hRule="atLeast"/>
          <w:jc w:val="center"/>
        </w:trPr>
        <w:tc>
          <w:tcPr>
            <w:tcW w:w="80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9"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93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345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r>
      <w:tr>
        <w:tblPrEx>
          <w:tblLayout w:type="fixed"/>
          <w:tblCellMar>
            <w:top w:w="15" w:type="dxa"/>
            <w:left w:w="15" w:type="dxa"/>
            <w:bottom w:w="15" w:type="dxa"/>
            <w:right w:w="15" w:type="dxa"/>
          </w:tblCellMar>
        </w:tblPrEx>
        <w:trPr>
          <w:trHeight w:val="285" w:hRule="atLeast"/>
          <w:jc w:val="center"/>
        </w:trPr>
        <w:tc>
          <w:tcPr>
            <w:tcW w:w="80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9"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93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345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r>
      <w:tr>
        <w:tblPrEx>
          <w:tblLayout w:type="fixed"/>
          <w:tblCellMar>
            <w:top w:w="15" w:type="dxa"/>
            <w:left w:w="15" w:type="dxa"/>
            <w:bottom w:w="15" w:type="dxa"/>
            <w:right w:w="15" w:type="dxa"/>
          </w:tblCellMar>
        </w:tblPrEx>
        <w:trPr>
          <w:trHeight w:val="285" w:hRule="atLeast"/>
          <w:jc w:val="center"/>
        </w:trPr>
        <w:tc>
          <w:tcPr>
            <w:tcW w:w="80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9"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93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345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r>
      <w:tr>
        <w:tblPrEx>
          <w:tblLayout w:type="fixed"/>
          <w:tblCellMar>
            <w:top w:w="15" w:type="dxa"/>
            <w:left w:w="15" w:type="dxa"/>
            <w:bottom w:w="15" w:type="dxa"/>
            <w:right w:w="15" w:type="dxa"/>
          </w:tblCellMar>
        </w:tblPrEx>
        <w:trPr>
          <w:trHeight w:val="285" w:hRule="atLeast"/>
          <w:jc w:val="center"/>
        </w:trPr>
        <w:tc>
          <w:tcPr>
            <w:tcW w:w="80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9"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93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345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r>
      <w:tr>
        <w:tblPrEx>
          <w:tblLayout w:type="fixed"/>
          <w:tblCellMar>
            <w:top w:w="15" w:type="dxa"/>
            <w:left w:w="15" w:type="dxa"/>
            <w:bottom w:w="15" w:type="dxa"/>
            <w:right w:w="15" w:type="dxa"/>
          </w:tblCellMar>
        </w:tblPrEx>
        <w:trPr>
          <w:trHeight w:val="285" w:hRule="atLeast"/>
          <w:jc w:val="center"/>
        </w:trPr>
        <w:tc>
          <w:tcPr>
            <w:tcW w:w="80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9"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93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345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r>
      <w:tr>
        <w:tblPrEx>
          <w:tblLayout w:type="fixed"/>
          <w:tblCellMar>
            <w:top w:w="15" w:type="dxa"/>
            <w:left w:w="15" w:type="dxa"/>
            <w:bottom w:w="15" w:type="dxa"/>
            <w:right w:w="15" w:type="dxa"/>
          </w:tblCellMar>
        </w:tblPrEx>
        <w:trPr>
          <w:trHeight w:val="285" w:hRule="atLeast"/>
          <w:jc w:val="center"/>
        </w:trPr>
        <w:tc>
          <w:tcPr>
            <w:tcW w:w="80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9"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93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345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r>
      <w:tr>
        <w:tblPrEx>
          <w:tblLayout w:type="fixed"/>
          <w:tblCellMar>
            <w:top w:w="15" w:type="dxa"/>
            <w:left w:w="15" w:type="dxa"/>
            <w:bottom w:w="15" w:type="dxa"/>
            <w:right w:w="15" w:type="dxa"/>
          </w:tblCellMar>
        </w:tblPrEx>
        <w:trPr>
          <w:trHeight w:val="285" w:hRule="atLeast"/>
          <w:jc w:val="center"/>
        </w:trPr>
        <w:tc>
          <w:tcPr>
            <w:tcW w:w="80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9"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93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345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r>
      <w:tr>
        <w:tblPrEx>
          <w:tblLayout w:type="fixed"/>
          <w:tblCellMar>
            <w:top w:w="15" w:type="dxa"/>
            <w:left w:w="15" w:type="dxa"/>
            <w:bottom w:w="15" w:type="dxa"/>
            <w:right w:w="15" w:type="dxa"/>
          </w:tblCellMar>
        </w:tblPrEx>
        <w:trPr>
          <w:trHeight w:val="285" w:hRule="atLeast"/>
          <w:jc w:val="center"/>
        </w:trPr>
        <w:tc>
          <w:tcPr>
            <w:tcW w:w="80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9"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93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345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r>
      <w:tr>
        <w:tblPrEx>
          <w:tblLayout w:type="fixed"/>
          <w:tblCellMar>
            <w:top w:w="15" w:type="dxa"/>
            <w:left w:w="15" w:type="dxa"/>
            <w:bottom w:w="15" w:type="dxa"/>
            <w:right w:w="15" w:type="dxa"/>
          </w:tblCellMar>
        </w:tblPrEx>
        <w:trPr>
          <w:trHeight w:val="285" w:hRule="atLeast"/>
          <w:jc w:val="center"/>
        </w:trPr>
        <w:tc>
          <w:tcPr>
            <w:tcW w:w="80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9"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93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345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r>
      <w:tr>
        <w:tblPrEx>
          <w:tblLayout w:type="fixed"/>
          <w:tblCellMar>
            <w:top w:w="15" w:type="dxa"/>
            <w:left w:w="15" w:type="dxa"/>
            <w:bottom w:w="15" w:type="dxa"/>
            <w:right w:w="15" w:type="dxa"/>
          </w:tblCellMar>
        </w:tblPrEx>
        <w:trPr>
          <w:trHeight w:val="285" w:hRule="atLeast"/>
          <w:jc w:val="center"/>
        </w:trPr>
        <w:tc>
          <w:tcPr>
            <w:tcW w:w="80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9"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93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345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r>
      <w:tr>
        <w:tblPrEx>
          <w:tblLayout w:type="fixed"/>
          <w:tblCellMar>
            <w:top w:w="15" w:type="dxa"/>
            <w:left w:w="15" w:type="dxa"/>
            <w:bottom w:w="15" w:type="dxa"/>
            <w:right w:w="15" w:type="dxa"/>
          </w:tblCellMar>
        </w:tblPrEx>
        <w:trPr>
          <w:trHeight w:val="285" w:hRule="atLeast"/>
          <w:jc w:val="center"/>
        </w:trPr>
        <w:tc>
          <w:tcPr>
            <w:tcW w:w="80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9"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93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345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r>
      <w:tr>
        <w:tblPrEx>
          <w:tblLayout w:type="fixed"/>
          <w:tblCellMar>
            <w:top w:w="15" w:type="dxa"/>
            <w:left w:w="15" w:type="dxa"/>
            <w:bottom w:w="15" w:type="dxa"/>
            <w:right w:w="15" w:type="dxa"/>
          </w:tblCellMar>
        </w:tblPrEx>
        <w:trPr>
          <w:trHeight w:val="285" w:hRule="atLeast"/>
          <w:jc w:val="center"/>
        </w:trPr>
        <w:tc>
          <w:tcPr>
            <w:tcW w:w="80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9"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93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345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r>
      <w:tr>
        <w:tblPrEx>
          <w:tblLayout w:type="fixed"/>
          <w:tblCellMar>
            <w:top w:w="15" w:type="dxa"/>
            <w:left w:w="15" w:type="dxa"/>
            <w:bottom w:w="15" w:type="dxa"/>
            <w:right w:w="15" w:type="dxa"/>
          </w:tblCellMar>
        </w:tblPrEx>
        <w:trPr>
          <w:trHeight w:val="285" w:hRule="atLeast"/>
          <w:jc w:val="center"/>
        </w:trPr>
        <w:tc>
          <w:tcPr>
            <w:tcW w:w="80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9"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93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345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c>
          <w:tcPr>
            <w:tcW w:w="8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000000"/>
                <w:sz w:val="22"/>
                <w:szCs w:val="22"/>
              </w:rPr>
            </w:pPr>
          </w:p>
        </w:tc>
      </w:tr>
    </w:tbl>
    <w:p>
      <w:pPr>
        <w:rPr>
          <w:rFonts w:eastAsia="宋体"/>
          <w:sz w:val="21"/>
          <w:szCs w:val="24"/>
        </w:rPr>
      </w:pPr>
      <w:r>
        <w:rPr>
          <w:rFonts w:hint="eastAsia" w:eastAsia="宋体"/>
          <w:sz w:val="21"/>
          <w:szCs w:val="24"/>
        </w:rPr>
        <w:t>注：本表类别只填工业园区（工业集聚区）类和其他类，不含生活小区类。</w:t>
      </w:r>
    </w:p>
    <w:p>
      <w:pPr>
        <w:rPr>
          <w:rFonts w:ascii="仿宋_GB2312" w:hAnsi="宋体"/>
          <w:sz w:val="28"/>
          <w:szCs w:val="28"/>
        </w:rPr>
      </w:pPr>
    </w:p>
    <w:p>
      <w:pPr>
        <w:rPr>
          <w:rFonts w:ascii="方正小标宋简体" w:eastAsia="方正小标宋简体"/>
          <w:b/>
          <w:bCs/>
          <w:sz w:val="36"/>
          <w:szCs w:val="28"/>
          <w:u w:val="single"/>
        </w:rPr>
      </w:pPr>
      <w:r>
        <w:rPr>
          <w:rFonts w:ascii="仿宋_GB2312" w:hAnsi="宋体"/>
          <w:sz w:val="28"/>
          <w:szCs w:val="28"/>
        </w:rPr>
        <w:br w:type="page"/>
      </w:r>
      <w:r>
        <w:rPr>
          <w:rFonts w:hint="eastAsia" w:ascii="楷体" w:hAnsi="楷体" w:eastAsia="楷体" w:cs="楷体"/>
          <w:sz w:val="28"/>
          <w:szCs w:val="28"/>
        </w:rPr>
        <w:t>附件1.4</w:t>
      </w:r>
    </w:p>
    <w:p>
      <w:pPr>
        <w:jc w:val="center"/>
        <w:rPr>
          <w:rFonts w:ascii="方正小标宋简体" w:eastAsia="方正小标宋简体"/>
          <w:b/>
          <w:bCs/>
          <w:sz w:val="36"/>
          <w:szCs w:val="28"/>
        </w:rPr>
      </w:pPr>
      <w:r>
        <w:rPr>
          <w:rFonts w:hint="eastAsia" w:ascii="方正小标宋简体" w:eastAsia="方正小标宋简体"/>
          <w:b/>
          <w:bCs/>
          <w:sz w:val="36"/>
          <w:szCs w:val="28"/>
          <w:u w:val="single"/>
        </w:rPr>
        <w:t xml:space="preserve">         </w:t>
      </w:r>
      <w:r>
        <w:rPr>
          <w:rFonts w:hint="eastAsia" w:ascii="方正小标宋简体" w:eastAsia="方正小标宋简体"/>
          <w:b/>
          <w:bCs/>
          <w:sz w:val="36"/>
          <w:szCs w:val="28"/>
        </w:rPr>
        <w:t>区排水设施问题清单表</w:t>
      </w:r>
    </w:p>
    <w:tbl>
      <w:tblPr>
        <w:tblStyle w:val="6"/>
        <w:tblW w:w="1351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472"/>
        <w:gridCol w:w="1596"/>
        <w:gridCol w:w="1036"/>
        <w:gridCol w:w="1037"/>
        <w:gridCol w:w="1404"/>
        <w:gridCol w:w="1323"/>
        <w:gridCol w:w="1254"/>
        <w:gridCol w:w="1228"/>
        <w:gridCol w:w="1336"/>
        <w:gridCol w:w="1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15" w:type="dxa"/>
            <w:vAlign w:val="center"/>
          </w:tcPr>
          <w:p>
            <w:pPr>
              <w:jc w:val="center"/>
              <w:rPr>
                <w:rFonts w:ascii="楷体_GB2312" w:hAnsi="楷体" w:eastAsia="楷体_GB2312" w:cs="楷体"/>
                <w:sz w:val="24"/>
                <w:szCs w:val="24"/>
              </w:rPr>
            </w:pPr>
            <w:r>
              <w:rPr>
                <w:rFonts w:hint="eastAsia" w:ascii="楷体_GB2312" w:hAnsi="楷体" w:eastAsia="楷体_GB2312" w:cs="楷体"/>
                <w:sz w:val="24"/>
                <w:szCs w:val="24"/>
              </w:rPr>
              <w:t>序号</w:t>
            </w:r>
          </w:p>
        </w:tc>
        <w:tc>
          <w:tcPr>
            <w:tcW w:w="1472" w:type="dxa"/>
            <w:vAlign w:val="center"/>
          </w:tcPr>
          <w:p>
            <w:pPr>
              <w:jc w:val="center"/>
              <w:rPr>
                <w:rFonts w:ascii="楷体_GB2312" w:hAnsi="楷体" w:eastAsia="楷体_GB2312" w:cs="楷体"/>
                <w:sz w:val="24"/>
                <w:szCs w:val="24"/>
              </w:rPr>
            </w:pPr>
            <w:r>
              <w:rPr>
                <w:rFonts w:hint="eastAsia" w:ascii="楷体_GB2312" w:hAnsi="楷体" w:eastAsia="楷体_GB2312" w:cs="楷体"/>
                <w:sz w:val="24"/>
                <w:szCs w:val="24"/>
              </w:rPr>
              <w:t>村（社区）</w:t>
            </w:r>
          </w:p>
        </w:tc>
        <w:tc>
          <w:tcPr>
            <w:tcW w:w="1596" w:type="dxa"/>
            <w:vAlign w:val="center"/>
          </w:tcPr>
          <w:p>
            <w:pPr>
              <w:jc w:val="center"/>
              <w:rPr>
                <w:rFonts w:ascii="楷体_GB2312" w:hAnsi="楷体" w:eastAsia="楷体_GB2312" w:cs="楷体"/>
                <w:sz w:val="24"/>
                <w:szCs w:val="24"/>
              </w:rPr>
            </w:pPr>
            <w:r>
              <w:rPr>
                <w:rFonts w:hint="eastAsia" w:ascii="楷体_GB2312" w:hAnsi="楷体" w:eastAsia="楷体_GB2312" w:cs="楷体"/>
                <w:sz w:val="24"/>
                <w:szCs w:val="24"/>
              </w:rPr>
              <w:t>位置</w:t>
            </w:r>
          </w:p>
        </w:tc>
        <w:tc>
          <w:tcPr>
            <w:tcW w:w="1036" w:type="dxa"/>
            <w:vAlign w:val="center"/>
          </w:tcPr>
          <w:p>
            <w:pPr>
              <w:jc w:val="center"/>
              <w:rPr>
                <w:rFonts w:ascii="楷体_GB2312" w:hAnsi="楷体" w:eastAsia="楷体_GB2312" w:cs="楷体"/>
                <w:sz w:val="24"/>
                <w:szCs w:val="24"/>
              </w:rPr>
            </w:pPr>
            <w:r>
              <w:rPr>
                <w:rFonts w:hint="eastAsia" w:ascii="楷体_GB2312" w:hAnsi="楷体" w:eastAsia="楷体_GB2312" w:cs="楷体"/>
                <w:sz w:val="24"/>
                <w:szCs w:val="24"/>
              </w:rPr>
              <w:t>图号</w:t>
            </w:r>
          </w:p>
        </w:tc>
        <w:tc>
          <w:tcPr>
            <w:tcW w:w="1037" w:type="dxa"/>
            <w:vAlign w:val="center"/>
          </w:tcPr>
          <w:p>
            <w:pPr>
              <w:jc w:val="center"/>
              <w:rPr>
                <w:rFonts w:ascii="楷体_GB2312" w:hAnsi="楷体" w:eastAsia="楷体_GB2312" w:cs="楷体"/>
                <w:sz w:val="24"/>
                <w:szCs w:val="24"/>
              </w:rPr>
            </w:pPr>
            <w:r>
              <w:rPr>
                <w:rFonts w:hint="eastAsia" w:ascii="楷体_GB2312" w:hAnsi="楷体" w:eastAsia="楷体_GB2312" w:cs="楷体"/>
                <w:sz w:val="24"/>
                <w:szCs w:val="24"/>
              </w:rPr>
              <w:t>编号</w:t>
            </w:r>
          </w:p>
        </w:tc>
        <w:tc>
          <w:tcPr>
            <w:tcW w:w="1404" w:type="dxa"/>
            <w:vAlign w:val="center"/>
          </w:tcPr>
          <w:p>
            <w:pPr>
              <w:jc w:val="center"/>
              <w:rPr>
                <w:rFonts w:ascii="楷体_GB2312" w:hAnsi="楷体" w:eastAsia="楷体_GB2312" w:cs="楷体"/>
                <w:sz w:val="24"/>
                <w:szCs w:val="24"/>
              </w:rPr>
            </w:pPr>
            <w:r>
              <w:rPr>
                <w:rFonts w:hint="eastAsia" w:ascii="楷体_GB2312" w:hAnsi="楷体" w:eastAsia="楷体_GB2312" w:cs="楷体"/>
                <w:sz w:val="24"/>
                <w:szCs w:val="24"/>
              </w:rPr>
              <w:t>河道</w:t>
            </w:r>
          </w:p>
        </w:tc>
        <w:tc>
          <w:tcPr>
            <w:tcW w:w="1323" w:type="dxa"/>
            <w:vAlign w:val="center"/>
          </w:tcPr>
          <w:p>
            <w:pPr>
              <w:jc w:val="center"/>
              <w:rPr>
                <w:rFonts w:ascii="楷体_GB2312" w:hAnsi="楷体" w:eastAsia="楷体_GB2312" w:cs="楷体"/>
                <w:sz w:val="24"/>
                <w:szCs w:val="24"/>
              </w:rPr>
            </w:pPr>
            <w:r>
              <w:rPr>
                <w:rFonts w:hint="eastAsia" w:ascii="楷体_GB2312" w:hAnsi="楷体" w:eastAsia="楷体_GB2312" w:cs="楷体"/>
                <w:sz w:val="24"/>
                <w:szCs w:val="24"/>
              </w:rPr>
              <w:t>排出口</w:t>
            </w:r>
          </w:p>
        </w:tc>
        <w:tc>
          <w:tcPr>
            <w:tcW w:w="1254" w:type="dxa"/>
            <w:vAlign w:val="center"/>
          </w:tcPr>
          <w:p>
            <w:pPr>
              <w:jc w:val="center"/>
              <w:rPr>
                <w:rFonts w:ascii="楷体_GB2312" w:hAnsi="楷体" w:eastAsia="楷体_GB2312" w:cs="楷体"/>
                <w:sz w:val="24"/>
                <w:szCs w:val="24"/>
              </w:rPr>
            </w:pPr>
            <w:r>
              <w:rPr>
                <w:rFonts w:hint="eastAsia" w:ascii="楷体_GB2312" w:hAnsi="楷体" w:eastAsia="楷体_GB2312" w:cs="楷体"/>
                <w:sz w:val="24"/>
                <w:szCs w:val="24"/>
              </w:rPr>
              <w:t>类型</w:t>
            </w:r>
          </w:p>
        </w:tc>
        <w:tc>
          <w:tcPr>
            <w:tcW w:w="1228" w:type="dxa"/>
            <w:vAlign w:val="center"/>
          </w:tcPr>
          <w:p>
            <w:pPr>
              <w:jc w:val="center"/>
              <w:rPr>
                <w:rFonts w:ascii="楷体_GB2312" w:hAnsi="楷体" w:eastAsia="楷体_GB2312" w:cs="楷体"/>
                <w:sz w:val="24"/>
                <w:szCs w:val="24"/>
              </w:rPr>
            </w:pPr>
            <w:r>
              <w:rPr>
                <w:rFonts w:hint="eastAsia" w:ascii="楷体_GB2312" w:hAnsi="楷体" w:eastAsia="楷体_GB2312" w:cs="楷体"/>
                <w:sz w:val="24"/>
                <w:szCs w:val="24"/>
              </w:rPr>
              <w:t>描述</w:t>
            </w:r>
          </w:p>
        </w:tc>
        <w:tc>
          <w:tcPr>
            <w:tcW w:w="1336" w:type="dxa"/>
            <w:vAlign w:val="center"/>
          </w:tcPr>
          <w:p>
            <w:pPr>
              <w:jc w:val="center"/>
              <w:rPr>
                <w:rFonts w:ascii="楷体_GB2312" w:hAnsi="楷体" w:eastAsia="楷体_GB2312" w:cs="楷体"/>
                <w:sz w:val="24"/>
                <w:szCs w:val="24"/>
              </w:rPr>
            </w:pPr>
            <w:r>
              <w:rPr>
                <w:rFonts w:hint="eastAsia" w:ascii="楷体_GB2312" w:hAnsi="楷体" w:eastAsia="楷体_GB2312" w:cs="楷体"/>
                <w:sz w:val="24"/>
                <w:szCs w:val="24"/>
              </w:rPr>
              <w:t>处理意见</w:t>
            </w:r>
          </w:p>
        </w:tc>
        <w:tc>
          <w:tcPr>
            <w:tcW w:w="1111" w:type="dxa"/>
            <w:vAlign w:val="center"/>
          </w:tcPr>
          <w:p>
            <w:pPr>
              <w:jc w:val="center"/>
              <w:rPr>
                <w:rFonts w:ascii="楷体_GB2312" w:hAnsi="楷体" w:eastAsia="楷体_GB2312" w:cs="楷体"/>
                <w:sz w:val="24"/>
                <w:szCs w:val="24"/>
              </w:rPr>
            </w:pPr>
            <w:r>
              <w:rPr>
                <w:rFonts w:hint="eastAsia" w:ascii="楷体_GB2312" w:hAnsi="楷体" w:eastAsia="楷体_GB2312" w:cs="楷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7" w:hRule="atLeast"/>
          <w:jc w:val="center"/>
        </w:trPr>
        <w:tc>
          <w:tcPr>
            <w:tcW w:w="715" w:type="dxa"/>
            <w:vAlign w:val="center"/>
          </w:tcPr>
          <w:p>
            <w:pPr>
              <w:jc w:val="center"/>
              <w:rPr>
                <w:rFonts w:ascii="楷体" w:hAnsi="楷体" w:eastAsia="楷体" w:cs="楷体"/>
                <w:sz w:val="24"/>
                <w:szCs w:val="24"/>
              </w:rPr>
            </w:pPr>
          </w:p>
        </w:tc>
        <w:tc>
          <w:tcPr>
            <w:tcW w:w="1472" w:type="dxa"/>
            <w:vAlign w:val="center"/>
          </w:tcPr>
          <w:p>
            <w:pPr>
              <w:jc w:val="center"/>
              <w:rPr>
                <w:rFonts w:ascii="楷体" w:hAnsi="楷体" w:eastAsia="楷体" w:cs="楷体"/>
                <w:sz w:val="24"/>
                <w:szCs w:val="24"/>
              </w:rPr>
            </w:pPr>
          </w:p>
        </w:tc>
        <w:tc>
          <w:tcPr>
            <w:tcW w:w="1596" w:type="dxa"/>
            <w:vAlign w:val="center"/>
          </w:tcPr>
          <w:p>
            <w:pPr>
              <w:jc w:val="center"/>
              <w:rPr>
                <w:rFonts w:ascii="楷体" w:hAnsi="楷体" w:eastAsia="楷体" w:cs="楷体"/>
                <w:sz w:val="24"/>
                <w:szCs w:val="24"/>
              </w:rPr>
            </w:pPr>
          </w:p>
        </w:tc>
        <w:tc>
          <w:tcPr>
            <w:tcW w:w="1036" w:type="dxa"/>
            <w:vAlign w:val="center"/>
          </w:tcPr>
          <w:p>
            <w:pPr>
              <w:jc w:val="center"/>
              <w:rPr>
                <w:rFonts w:ascii="楷体" w:hAnsi="楷体" w:eastAsia="楷体" w:cs="楷体"/>
                <w:sz w:val="24"/>
                <w:szCs w:val="24"/>
              </w:rPr>
            </w:pPr>
          </w:p>
        </w:tc>
        <w:tc>
          <w:tcPr>
            <w:tcW w:w="1037" w:type="dxa"/>
            <w:vAlign w:val="center"/>
          </w:tcPr>
          <w:p>
            <w:pPr>
              <w:jc w:val="center"/>
              <w:rPr>
                <w:rFonts w:ascii="楷体" w:hAnsi="楷体" w:eastAsia="楷体" w:cs="楷体"/>
                <w:sz w:val="24"/>
                <w:szCs w:val="24"/>
              </w:rPr>
            </w:pPr>
          </w:p>
        </w:tc>
        <w:tc>
          <w:tcPr>
            <w:tcW w:w="1404" w:type="dxa"/>
            <w:vAlign w:val="center"/>
          </w:tcPr>
          <w:p>
            <w:pPr>
              <w:jc w:val="center"/>
              <w:rPr>
                <w:rFonts w:ascii="楷体" w:hAnsi="楷体" w:eastAsia="楷体" w:cs="楷体"/>
                <w:sz w:val="24"/>
                <w:szCs w:val="24"/>
              </w:rPr>
            </w:pPr>
          </w:p>
        </w:tc>
        <w:tc>
          <w:tcPr>
            <w:tcW w:w="1323" w:type="dxa"/>
            <w:vAlign w:val="center"/>
          </w:tcPr>
          <w:p>
            <w:pPr>
              <w:jc w:val="center"/>
              <w:rPr>
                <w:rFonts w:ascii="楷体" w:hAnsi="楷体" w:eastAsia="楷体" w:cs="楷体"/>
                <w:sz w:val="24"/>
                <w:szCs w:val="24"/>
              </w:rPr>
            </w:pPr>
          </w:p>
        </w:tc>
        <w:tc>
          <w:tcPr>
            <w:tcW w:w="1254" w:type="dxa"/>
            <w:vAlign w:val="center"/>
          </w:tcPr>
          <w:p>
            <w:pPr>
              <w:jc w:val="center"/>
              <w:rPr>
                <w:rFonts w:ascii="楷体" w:hAnsi="楷体" w:eastAsia="楷体" w:cs="楷体"/>
                <w:sz w:val="24"/>
                <w:szCs w:val="24"/>
              </w:rPr>
            </w:pPr>
          </w:p>
        </w:tc>
        <w:tc>
          <w:tcPr>
            <w:tcW w:w="1228" w:type="dxa"/>
            <w:vAlign w:val="center"/>
          </w:tcPr>
          <w:p>
            <w:pPr>
              <w:jc w:val="center"/>
              <w:rPr>
                <w:rFonts w:ascii="楷体" w:hAnsi="楷体" w:eastAsia="楷体" w:cs="楷体"/>
                <w:sz w:val="24"/>
                <w:szCs w:val="24"/>
              </w:rPr>
            </w:pPr>
          </w:p>
        </w:tc>
        <w:tc>
          <w:tcPr>
            <w:tcW w:w="1336" w:type="dxa"/>
            <w:vAlign w:val="center"/>
          </w:tcPr>
          <w:p>
            <w:pPr>
              <w:jc w:val="center"/>
              <w:rPr>
                <w:rFonts w:ascii="楷体" w:hAnsi="楷体" w:eastAsia="楷体" w:cs="楷体"/>
                <w:sz w:val="24"/>
                <w:szCs w:val="24"/>
              </w:rPr>
            </w:pPr>
          </w:p>
        </w:tc>
        <w:tc>
          <w:tcPr>
            <w:tcW w:w="1111" w:type="dxa"/>
            <w:vAlign w:val="center"/>
          </w:tcPr>
          <w:p>
            <w:pPr>
              <w:jc w:val="center"/>
              <w:rPr>
                <w:rFonts w:ascii="楷体" w:hAnsi="楷体" w:eastAsia="楷体" w:cs="楷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15" w:type="dxa"/>
            <w:vAlign w:val="center"/>
          </w:tcPr>
          <w:p>
            <w:pPr>
              <w:jc w:val="center"/>
              <w:rPr>
                <w:rFonts w:ascii="楷体" w:hAnsi="楷体" w:eastAsia="楷体" w:cs="楷体"/>
                <w:sz w:val="24"/>
                <w:szCs w:val="24"/>
              </w:rPr>
            </w:pPr>
          </w:p>
        </w:tc>
        <w:tc>
          <w:tcPr>
            <w:tcW w:w="1472" w:type="dxa"/>
            <w:vAlign w:val="center"/>
          </w:tcPr>
          <w:p>
            <w:pPr>
              <w:jc w:val="center"/>
              <w:rPr>
                <w:rFonts w:ascii="楷体" w:hAnsi="楷体" w:eastAsia="楷体" w:cs="楷体"/>
                <w:sz w:val="24"/>
                <w:szCs w:val="24"/>
              </w:rPr>
            </w:pPr>
          </w:p>
        </w:tc>
        <w:tc>
          <w:tcPr>
            <w:tcW w:w="1596" w:type="dxa"/>
            <w:vAlign w:val="center"/>
          </w:tcPr>
          <w:p>
            <w:pPr>
              <w:jc w:val="center"/>
              <w:rPr>
                <w:rFonts w:ascii="楷体" w:hAnsi="楷体" w:eastAsia="楷体" w:cs="楷体"/>
                <w:sz w:val="24"/>
                <w:szCs w:val="24"/>
              </w:rPr>
            </w:pPr>
          </w:p>
        </w:tc>
        <w:tc>
          <w:tcPr>
            <w:tcW w:w="1036" w:type="dxa"/>
            <w:vAlign w:val="center"/>
          </w:tcPr>
          <w:p>
            <w:pPr>
              <w:jc w:val="center"/>
              <w:rPr>
                <w:rFonts w:ascii="楷体" w:hAnsi="楷体" w:eastAsia="楷体" w:cs="楷体"/>
                <w:sz w:val="24"/>
                <w:szCs w:val="24"/>
              </w:rPr>
            </w:pPr>
          </w:p>
        </w:tc>
        <w:tc>
          <w:tcPr>
            <w:tcW w:w="1037" w:type="dxa"/>
            <w:vAlign w:val="center"/>
          </w:tcPr>
          <w:p>
            <w:pPr>
              <w:jc w:val="center"/>
              <w:rPr>
                <w:rFonts w:ascii="楷体" w:hAnsi="楷体" w:eastAsia="楷体" w:cs="楷体"/>
                <w:sz w:val="24"/>
                <w:szCs w:val="24"/>
              </w:rPr>
            </w:pPr>
          </w:p>
        </w:tc>
        <w:tc>
          <w:tcPr>
            <w:tcW w:w="1404" w:type="dxa"/>
            <w:vAlign w:val="center"/>
          </w:tcPr>
          <w:p>
            <w:pPr>
              <w:jc w:val="center"/>
              <w:rPr>
                <w:rFonts w:ascii="楷体" w:hAnsi="楷体" w:eastAsia="楷体" w:cs="楷体"/>
                <w:sz w:val="24"/>
                <w:szCs w:val="24"/>
              </w:rPr>
            </w:pPr>
          </w:p>
        </w:tc>
        <w:tc>
          <w:tcPr>
            <w:tcW w:w="1323" w:type="dxa"/>
            <w:vAlign w:val="center"/>
          </w:tcPr>
          <w:p>
            <w:pPr>
              <w:jc w:val="center"/>
              <w:rPr>
                <w:rFonts w:ascii="楷体" w:hAnsi="楷体" w:eastAsia="楷体" w:cs="楷体"/>
                <w:sz w:val="24"/>
                <w:szCs w:val="24"/>
              </w:rPr>
            </w:pPr>
          </w:p>
        </w:tc>
        <w:tc>
          <w:tcPr>
            <w:tcW w:w="1254" w:type="dxa"/>
            <w:vAlign w:val="center"/>
          </w:tcPr>
          <w:p>
            <w:pPr>
              <w:jc w:val="center"/>
              <w:rPr>
                <w:rFonts w:ascii="楷体" w:hAnsi="楷体" w:eastAsia="楷体" w:cs="楷体"/>
                <w:sz w:val="24"/>
                <w:szCs w:val="24"/>
              </w:rPr>
            </w:pPr>
          </w:p>
        </w:tc>
        <w:tc>
          <w:tcPr>
            <w:tcW w:w="1228" w:type="dxa"/>
            <w:vAlign w:val="center"/>
          </w:tcPr>
          <w:p>
            <w:pPr>
              <w:jc w:val="center"/>
              <w:rPr>
                <w:rFonts w:ascii="楷体" w:hAnsi="楷体" w:eastAsia="楷体" w:cs="楷体"/>
                <w:sz w:val="24"/>
                <w:szCs w:val="24"/>
              </w:rPr>
            </w:pPr>
          </w:p>
        </w:tc>
        <w:tc>
          <w:tcPr>
            <w:tcW w:w="1336" w:type="dxa"/>
            <w:vAlign w:val="center"/>
          </w:tcPr>
          <w:p>
            <w:pPr>
              <w:jc w:val="center"/>
              <w:rPr>
                <w:rFonts w:ascii="楷体" w:hAnsi="楷体" w:eastAsia="楷体" w:cs="楷体"/>
                <w:sz w:val="24"/>
                <w:szCs w:val="24"/>
              </w:rPr>
            </w:pPr>
          </w:p>
        </w:tc>
        <w:tc>
          <w:tcPr>
            <w:tcW w:w="1111" w:type="dxa"/>
            <w:vAlign w:val="center"/>
          </w:tcPr>
          <w:p>
            <w:pPr>
              <w:jc w:val="center"/>
              <w:rPr>
                <w:rFonts w:ascii="楷体" w:hAnsi="楷体" w:eastAsia="楷体" w:cs="楷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15" w:type="dxa"/>
            <w:vAlign w:val="center"/>
          </w:tcPr>
          <w:p>
            <w:pPr>
              <w:jc w:val="center"/>
              <w:rPr>
                <w:rFonts w:ascii="楷体" w:hAnsi="楷体" w:eastAsia="楷体" w:cs="楷体"/>
                <w:sz w:val="24"/>
                <w:szCs w:val="24"/>
              </w:rPr>
            </w:pPr>
          </w:p>
        </w:tc>
        <w:tc>
          <w:tcPr>
            <w:tcW w:w="1472" w:type="dxa"/>
            <w:vAlign w:val="center"/>
          </w:tcPr>
          <w:p>
            <w:pPr>
              <w:jc w:val="center"/>
              <w:rPr>
                <w:rFonts w:ascii="楷体" w:hAnsi="楷体" w:eastAsia="楷体" w:cs="楷体"/>
                <w:sz w:val="24"/>
                <w:szCs w:val="24"/>
              </w:rPr>
            </w:pPr>
          </w:p>
        </w:tc>
        <w:tc>
          <w:tcPr>
            <w:tcW w:w="1596" w:type="dxa"/>
            <w:vAlign w:val="center"/>
          </w:tcPr>
          <w:p>
            <w:pPr>
              <w:jc w:val="center"/>
              <w:rPr>
                <w:rFonts w:ascii="楷体" w:hAnsi="楷体" w:eastAsia="楷体" w:cs="楷体"/>
                <w:sz w:val="24"/>
                <w:szCs w:val="24"/>
              </w:rPr>
            </w:pPr>
          </w:p>
        </w:tc>
        <w:tc>
          <w:tcPr>
            <w:tcW w:w="1036" w:type="dxa"/>
            <w:vAlign w:val="center"/>
          </w:tcPr>
          <w:p>
            <w:pPr>
              <w:jc w:val="center"/>
              <w:rPr>
                <w:rFonts w:ascii="楷体" w:hAnsi="楷体" w:eastAsia="楷体" w:cs="楷体"/>
                <w:sz w:val="24"/>
                <w:szCs w:val="24"/>
              </w:rPr>
            </w:pPr>
          </w:p>
        </w:tc>
        <w:tc>
          <w:tcPr>
            <w:tcW w:w="1037" w:type="dxa"/>
            <w:vAlign w:val="center"/>
          </w:tcPr>
          <w:p>
            <w:pPr>
              <w:jc w:val="center"/>
              <w:rPr>
                <w:rFonts w:ascii="楷体" w:hAnsi="楷体" w:eastAsia="楷体" w:cs="楷体"/>
                <w:sz w:val="24"/>
                <w:szCs w:val="24"/>
              </w:rPr>
            </w:pPr>
          </w:p>
        </w:tc>
        <w:tc>
          <w:tcPr>
            <w:tcW w:w="1404" w:type="dxa"/>
            <w:vAlign w:val="center"/>
          </w:tcPr>
          <w:p>
            <w:pPr>
              <w:jc w:val="center"/>
              <w:rPr>
                <w:rFonts w:ascii="楷体" w:hAnsi="楷体" w:eastAsia="楷体" w:cs="楷体"/>
                <w:sz w:val="24"/>
                <w:szCs w:val="24"/>
              </w:rPr>
            </w:pPr>
          </w:p>
        </w:tc>
        <w:tc>
          <w:tcPr>
            <w:tcW w:w="1323" w:type="dxa"/>
            <w:vAlign w:val="center"/>
          </w:tcPr>
          <w:p>
            <w:pPr>
              <w:jc w:val="center"/>
              <w:rPr>
                <w:rFonts w:ascii="楷体" w:hAnsi="楷体" w:eastAsia="楷体" w:cs="楷体"/>
                <w:sz w:val="24"/>
                <w:szCs w:val="24"/>
              </w:rPr>
            </w:pPr>
          </w:p>
        </w:tc>
        <w:tc>
          <w:tcPr>
            <w:tcW w:w="1254" w:type="dxa"/>
            <w:vAlign w:val="center"/>
          </w:tcPr>
          <w:p>
            <w:pPr>
              <w:jc w:val="center"/>
              <w:rPr>
                <w:rFonts w:ascii="楷体" w:hAnsi="楷体" w:eastAsia="楷体" w:cs="楷体"/>
                <w:sz w:val="24"/>
                <w:szCs w:val="24"/>
              </w:rPr>
            </w:pPr>
          </w:p>
        </w:tc>
        <w:tc>
          <w:tcPr>
            <w:tcW w:w="1228" w:type="dxa"/>
            <w:vAlign w:val="center"/>
          </w:tcPr>
          <w:p>
            <w:pPr>
              <w:jc w:val="center"/>
              <w:rPr>
                <w:rFonts w:ascii="楷体" w:hAnsi="楷体" w:eastAsia="楷体" w:cs="楷体"/>
                <w:sz w:val="24"/>
                <w:szCs w:val="24"/>
              </w:rPr>
            </w:pPr>
          </w:p>
        </w:tc>
        <w:tc>
          <w:tcPr>
            <w:tcW w:w="1336" w:type="dxa"/>
            <w:vAlign w:val="center"/>
          </w:tcPr>
          <w:p>
            <w:pPr>
              <w:jc w:val="center"/>
              <w:rPr>
                <w:rFonts w:ascii="楷体" w:hAnsi="楷体" w:eastAsia="楷体" w:cs="楷体"/>
                <w:sz w:val="24"/>
                <w:szCs w:val="24"/>
              </w:rPr>
            </w:pPr>
          </w:p>
        </w:tc>
        <w:tc>
          <w:tcPr>
            <w:tcW w:w="1111" w:type="dxa"/>
            <w:vAlign w:val="center"/>
          </w:tcPr>
          <w:p>
            <w:pPr>
              <w:jc w:val="center"/>
              <w:rPr>
                <w:rFonts w:ascii="楷体" w:hAnsi="楷体" w:eastAsia="楷体" w:cs="楷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15" w:type="dxa"/>
            <w:vAlign w:val="center"/>
          </w:tcPr>
          <w:p>
            <w:pPr>
              <w:jc w:val="center"/>
              <w:rPr>
                <w:rFonts w:ascii="楷体" w:hAnsi="楷体" w:eastAsia="楷体" w:cs="楷体"/>
                <w:sz w:val="24"/>
                <w:szCs w:val="24"/>
              </w:rPr>
            </w:pPr>
          </w:p>
        </w:tc>
        <w:tc>
          <w:tcPr>
            <w:tcW w:w="1472" w:type="dxa"/>
            <w:vAlign w:val="center"/>
          </w:tcPr>
          <w:p>
            <w:pPr>
              <w:jc w:val="center"/>
              <w:rPr>
                <w:rFonts w:ascii="楷体" w:hAnsi="楷体" w:eastAsia="楷体" w:cs="楷体"/>
                <w:sz w:val="24"/>
                <w:szCs w:val="24"/>
              </w:rPr>
            </w:pPr>
          </w:p>
        </w:tc>
        <w:tc>
          <w:tcPr>
            <w:tcW w:w="1596" w:type="dxa"/>
            <w:vAlign w:val="center"/>
          </w:tcPr>
          <w:p>
            <w:pPr>
              <w:jc w:val="center"/>
              <w:rPr>
                <w:rFonts w:ascii="楷体" w:hAnsi="楷体" w:eastAsia="楷体" w:cs="楷体"/>
                <w:sz w:val="24"/>
                <w:szCs w:val="24"/>
              </w:rPr>
            </w:pPr>
          </w:p>
        </w:tc>
        <w:tc>
          <w:tcPr>
            <w:tcW w:w="1036" w:type="dxa"/>
            <w:vAlign w:val="center"/>
          </w:tcPr>
          <w:p>
            <w:pPr>
              <w:jc w:val="center"/>
              <w:rPr>
                <w:rFonts w:ascii="楷体" w:hAnsi="楷体" w:eastAsia="楷体" w:cs="楷体"/>
                <w:sz w:val="24"/>
                <w:szCs w:val="24"/>
              </w:rPr>
            </w:pPr>
          </w:p>
        </w:tc>
        <w:tc>
          <w:tcPr>
            <w:tcW w:w="1037" w:type="dxa"/>
            <w:vAlign w:val="center"/>
          </w:tcPr>
          <w:p>
            <w:pPr>
              <w:jc w:val="center"/>
              <w:rPr>
                <w:rFonts w:ascii="楷体" w:hAnsi="楷体" w:eastAsia="楷体" w:cs="楷体"/>
                <w:sz w:val="24"/>
                <w:szCs w:val="24"/>
              </w:rPr>
            </w:pPr>
          </w:p>
        </w:tc>
        <w:tc>
          <w:tcPr>
            <w:tcW w:w="1404" w:type="dxa"/>
            <w:vAlign w:val="center"/>
          </w:tcPr>
          <w:p>
            <w:pPr>
              <w:jc w:val="center"/>
              <w:rPr>
                <w:rFonts w:ascii="楷体" w:hAnsi="楷体" w:eastAsia="楷体" w:cs="楷体"/>
                <w:sz w:val="24"/>
                <w:szCs w:val="24"/>
              </w:rPr>
            </w:pPr>
          </w:p>
        </w:tc>
        <w:tc>
          <w:tcPr>
            <w:tcW w:w="1323" w:type="dxa"/>
            <w:vAlign w:val="center"/>
          </w:tcPr>
          <w:p>
            <w:pPr>
              <w:jc w:val="center"/>
              <w:rPr>
                <w:rFonts w:ascii="楷体" w:hAnsi="楷体" w:eastAsia="楷体" w:cs="楷体"/>
                <w:sz w:val="24"/>
                <w:szCs w:val="24"/>
              </w:rPr>
            </w:pPr>
          </w:p>
        </w:tc>
        <w:tc>
          <w:tcPr>
            <w:tcW w:w="1254" w:type="dxa"/>
            <w:vAlign w:val="center"/>
          </w:tcPr>
          <w:p>
            <w:pPr>
              <w:jc w:val="center"/>
              <w:rPr>
                <w:rFonts w:ascii="楷体" w:hAnsi="楷体" w:eastAsia="楷体" w:cs="楷体"/>
                <w:sz w:val="24"/>
                <w:szCs w:val="24"/>
              </w:rPr>
            </w:pPr>
          </w:p>
        </w:tc>
        <w:tc>
          <w:tcPr>
            <w:tcW w:w="1228" w:type="dxa"/>
            <w:vAlign w:val="center"/>
          </w:tcPr>
          <w:p>
            <w:pPr>
              <w:jc w:val="center"/>
              <w:rPr>
                <w:rFonts w:ascii="楷体" w:hAnsi="楷体" w:eastAsia="楷体" w:cs="楷体"/>
                <w:sz w:val="24"/>
                <w:szCs w:val="24"/>
              </w:rPr>
            </w:pPr>
          </w:p>
        </w:tc>
        <w:tc>
          <w:tcPr>
            <w:tcW w:w="1336" w:type="dxa"/>
            <w:vAlign w:val="center"/>
          </w:tcPr>
          <w:p>
            <w:pPr>
              <w:jc w:val="center"/>
              <w:rPr>
                <w:rFonts w:ascii="楷体" w:hAnsi="楷体" w:eastAsia="楷体" w:cs="楷体"/>
                <w:sz w:val="24"/>
                <w:szCs w:val="24"/>
              </w:rPr>
            </w:pPr>
          </w:p>
        </w:tc>
        <w:tc>
          <w:tcPr>
            <w:tcW w:w="1111" w:type="dxa"/>
            <w:vAlign w:val="center"/>
          </w:tcPr>
          <w:p>
            <w:pPr>
              <w:jc w:val="center"/>
              <w:rPr>
                <w:rFonts w:ascii="楷体" w:hAnsi="楷体" w:eastAsia="楷体" w:cs="楷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15" w:type="dxa"/>
            <w:vAlign w:val="center"/>
          </w:tcPr>
          <w:p>
            <w:pPr>
              <w:jc w:val="center"/>
              <w:rPr>
                <w:rFonts w:ascii="楷体" w:hAnsi="楷体" w:eastAsia="楷体" w:cs="楷体"/>
                <w:sz w:val="24"/>
                <w:szCs w:val="24"/>
              </w:rPr>
            </w:pPr>
          </w:p>
        </w:tc>
        <w:tc>
          <w:tcPr>
            <w:tcW w:w="1472" w:type="dxa"/>
            <w:vAlign w:val="center"/>
          </w:tcPr>
          <w:p>
            <w:pPr>
              <w:jc w:val="center"/>
              <w:rPr>
                <w:rFonts w:ascii="楷体" w:hAnsi="楷体" w:eastAsia="楷体" w:cs="楷体"/>
                <w:sz w:val="24"/>
                <w:szCs w:val="24"/>
              </w:rPr>
            </w:pPr>
          </w:p>
        </w:tc>
        <w:tc>
          <w:tcPr>
            <w:tcW w:w="1596" w:type="dxa"/>
            <w:vAlign w:val="center"/>
          </w:tcPr>
          <w:p>
            <w:pPr>
              <w:jc w:val="center"/>
              <w:rPr>
                <w:rFonts w:ascii="楷体" w:hAnsi="楷体" w:eastAsia="楷体" w:cs="楷体"/>
                <w:sz w:val="24"/>
                <w:szCs w:val="24"/>
              </w:rPr>
            </w:pPr>
          </w:p>
        </w:tc>
        <w:tc>
          <w:tcPr>
            <w:tcW w:w="1036" w:type="dxa"/>
            <w:vAlign w:val="center"/>
          </w:tcPr>
          <w:p>
            <w:pPr>
              <w:jc w:val="center"/>
              <w:rPr>
                <w:rFonts w:ascii="楷体" w:hAnsi="楷体" w:eastAsia="楷体" w:cs="楷体"/>
                <w:sz w:val="24"/>
                <w:szCs w:val="24"/>
              </w:rPr>
            </w:pPr>
          </w:p>
        </w:tc>
        <w:tc>
          <w:tcPr>
            <w:tcW w:w="1037" w:type="dxa"/>
            <w:vAlign w:val="center"/>
          </w:tcPr>
          <w:p>
            <w:pPr>
              <w:jc w:val="center"/>
              <w:rPr>
                <w:rFonts w:ascii="楷体" w:hAnsi="楷体" w:eastAsia="楷体" w:cs="楷体"/>
                <w:sz w:val="24"/>
                <w:szCs w:val="24"/>
              </w:rPr>
            </w:pPr>
          </w:p>
        </w:tc>
        <w:tc>
          <w:tcPr>
            <w:tcW w:w="1404" w:type="dxa"/>
            <w:vAlign w:val="center"/>
          </w:tcPr>
          <w:p>
            <w:pPr>
              <w:jc w:val="center"/>
              <w:rPr>
                <w:rFonts w:ascii="楷体" w:hAnsi="楷体" w:eastAsia="楷体" w:cs="楷体"/>
                <w:sz w:val="24"/>
                <w:szCs w:val="24"/>
              </w:rPr>
            </w:pPr>
          </w:p>
        </w:tc>
        <w:tc>
          <w:tcPr>
            <w:tcW w:w="1323" w:type="dxa"/>
            <w:vAlign w:val="center"/>
          </w:tcPr>
          <w:p>
            <w:pPr>
              <w:jc w:val="center"/>
              <w:rPr>
                <w:rFonts w:ascii="楷体" w:hAnsi="楷体" w:eastAsia="楷体" w:cs="楷体"/>
                <w:sz w:val="24"/>
                <w:szCs w:val="24"/>
              </w:rPr>
            </w:pPr>
          </w:p>
        </w:tc>
        <w:tc>
          <w:tcPr>
            <w:tcW w:w="1254" w:type="dxa"/>
            <w:vAlign w:val="center"/>
          </w:tcPr>
          <w:p>
            <w:pPr>
              <w:jc w:val="center"/>
              <w:rPr>
                <w:rFonts w:ascii="楷体" w:hAnsi="楷体" w:eastAsia="楷体" w:cs="楷体"/>
                <w:sz w:val="24"/>
                <w:szCs w:val="24"/>
              </w:rPr>
            </w:pPr>
          </w:p>
        </w:tc>
        <w:tc>
          <w:tcPr>
            <w:tcW w:w="1228" w:type="dxa"/>
            <w:vAlign w:val="center"/>
          </w:tcPr>
          <w:p>
            <w:pPr>
              <w:jc w:val="center"/>
              <w:rPr>
                <w:rFonts w:ascii="楷体" w:hAnsi="楷体" w:eastAsia="楷体" w:cs="楷体"/>
                <w:sz w:val="24"/>
                <w:szCs w:val="24"/>
              </w:rPr>
            </w:pPr>
          </w:p>
        </w:tc>
        <w:tc>
          <w:tcPr>
            <w:tcW w:w="1336" w:type="dxa"/>
            <w:vAlign w:val="center"/>
          </w:tcPr>
          <w:p>
            <w:pPr>
              <w:jc w:val="center"/>
              <w:rPr>
                <w:rFonts w:ascii="楷体" w:hAnsi="楷体" w:eastAsia="楷体" w:cs="楷体"/>
                <w:sz w:val="24"/>
                <w:szCs w:val="24"/>
              </w:rPr>
            </w:pPr>
          </w:p>
        </w:tc>
        <w:tc>
          <w:tcPr>
            <w:tcW w:w="1111" w:type="dxa"/>
            <w:vAlign w:val="center"/>
          </w:tcPr>
          <w:p>
            <w:pPr>
              <w:jc w:val="center"/>
              <w:rPr>
                <w:rFonts w:ascii="楷体" w:hAnsi="楷体" w:eastAsia="楷体" w:cs="楷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15" w:type="dxa"/>
            <w:vAlign w:val="center"/>
          </w:tcPr>
          <w:p>
            <w:pPr>
              <w:jc w:val="center"/>
              <w:rPr>
                <w:rFonts w:ascii="楷体" w:hAnsi="楷体" w:eastAsia="楷体" w:cs="楷体"/>
                <w:sz w:val="24"/>
                <w:szCs w:val="24"/>
              </w:rPr>
            </w:pPr>
          </w:p>
        </w:tc>
        <w:tc>
          <w:tcPr>
            <w:tcW w:w="1472" w:type="dxa"/>
            <w:vAlign w:val="center"/>
          </w:tcPr>
          <w:p>
            <w:pPr>
              <w:jc w:val="center"/>
              <w:rPr>
                <w:rFonts w:ascii="楷体" w:hAnsi="楷体" w:eastAsia="楷体" w:cs="楷体"/>
                <w:sz w:val="24"/>
                <w:szCs w:val="24"/>
              </w:rPr>
            </w:pPr>
          </w:p>
        </w:tc>
        <w:tc>
          <w:tcPr>
            <w:tcW w:w="1596" w:type="dxa"/>
            <w:vAlign w:val="center"/>
          </w:tcPr>
          <w:p>
            <w:pPr>
              <w:jc w:val="center"/>
              <w:rPr>
                <w:rFonts w:ascii="楷体" w:hAnsi="楷体" w:eastAsia="楷体" w:cs="楷体"/>
                <w:sz w:val="24"/>
                <w:szCs w:val="24"/>
              </w:rPr>
            </w:pPr>
          </w:p>
        </w:tc>
        <w:tc>
          <w:tcPr>
            <w:tcW w:w="1036" w:type="dxa"/>
            <w:vAlign w:val="center"/>
          </w:tcPr>
          <w:p>
            <w:pPr>
              <w:jc w:val="center"/>
              <w:rPr>
                <w:rFonts w:ascii="楷体" w:hAnsi="楷体" w:eastAsia="楷体" w:cs="楷体"/>
                <w:sz w:val="24"/>
                <w:szCs w:val="24"/>
              </w:rPr>
            </w:pPr>
          </w:p>
        </w:tc>
        <w:tc>
          <w:tcPr>
            <w:tcW w:w="1037" w:type="dxa"/>
            <w:vAlign w:val="center"/>
          </w:tcPr>
          <w:p>
            <w:pPr>
              <w:jc w:val="center"/>
              <w:rPr>
                <w:rFonts w:ascii="楷体" w:hAnsi="楷体" w:eastAsia="楷体" w:cs="楷体"/>
                <w:sz w:val="24"/>
                <w:szCs w:val="24"/>
              </w:rPr>
            </w:pPr>
          </w:p>
        </w:tc>
        <w:tc>
          <w:tcPr>
            <w:tcW w:w="1404" w:type="dxa"/>
            <w:vAlign w:val="center"/>
          </w:tcPr>
          <w:p>
            <w:pPr>
              <w:jc w:val="center"/>
              <w:rPr>
                <w:rFonts w:ascii="楷体" w:hAnsi="楷体" w:eastAsia="楷体" w:cs="楷体"/>
                <w:sz w:val="24"/>
                <w:szCs w:val="24"/>
              </w:rPr>
            </w:pPr>
          </w:p>
        </w:tc>
        <w:tc>
          <w:tcPr>
            <w:tcW w:w="1323" w:type="dxa"/>
            <w:vAlign w:val="center"/>
          </w:tcPr>
          <w:p>
            <w:pPr>
              <w:jc w:val="center"/>
              <w:rPr>
                <w:rFonts w:ascii="楷体" w:hAnsi="楷体" w:eastAsia="楷体" w:cs="楷体"/>
                <w:sz w:val="24"/>
                <w:szCs w:val="24"/>
              </w:rPr>
            </w:pPr>
          </w:p>
        </w:tc>
        <w:tc>
          <w:tcPr>
            <w:tcW w:w="1254" w:type="dxa"/>
            <w:vAlign w:val="center"/>
          </w:tcPr>
          <w:p>
            <w:pPr>
              <w:jc w:val="center"/>
              <w:rPr>
                <w:rFonts w:ascii="楷体" w:hAnsi="楷体" w:eastAsia="楷体" w:cs="楷体"/>
                <w:sz w:val="24"/>
                <w:szCs w:val="24"/>
              </w:rPr>
            </w:pPr>
          </w:p>
        </w:tc>
        <w:tc>
          <w:tcPr>
            <w:tcW w:w="1228" w:type="dxa"/>
            <w:vAlign w:val="center"/>
          </w:tcPr>
          <w:p>
            <w:pPr>
              <w:jc w:val="center"/>
              <w:rPr>
                <w:rFonts w:ascii="楷体" w:hAnsi="楷体" w:eastAsia="楷体" w:cs="楷体"/>
                <w:sz w:val="24"/>
                <w:szCs w:val="24"/>
              </w:rPr>
            </w:pPr>
          </w:p>
        </w:tc>
        <w:tc>
          <w:tcPr>
            <w:tcW w:w="1336" w:type="dxa"/>
            <w:vAlign w:val="center"/>
          </w:tcPr>
          <w:p>
            <w:pPr>
              <w:jc w:val="center"/>
              <w:rPr>
                <w:rFonts w:ascii="楷体" w:hAnsi="楷体" w:eastAsia="楷体" w:cs="楷体"/>
                <w:sz w:val="24"/>
                <w:szCs w:val="24"/>
              </w:rPr>
            </w:pPr>
          </w:p>
        </w:tc>
        <w:tc>
          <w:tcPr>
            <w:tcW w:w="1111" w:type="dxa"/>
            <w:vAlign w:val="center"/>
          </w:tcPr>
          <w:p>
            <w:pPr>
              <w:jc w:val="center"/>
              <w:rPr>
                <w:rFonts w:ascii="楷体" w:hAnsi="楷体" w:eastAsia="楷体" w:cs="楷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15" w:type="dxa"/>
            <w:vAlign w:val="center"/>
          </w:tcPr>
          <w:p>
            <w:pPr>
              <w:jc w:val="center"/>
              <w:rPr>
                <w:rFonts w:ascii="楷体" w:hAnsi="楷体" w:eastAsia="楷体" w:cs="楷体"/>
                <w:sz w:val="24"/>
                <w:szCs w:val="24"/>
              </w:rPr>
            </w:pPr>
          </w:p>
        </w:tc>
        <w:tc>
          <w:tcPr>
            <w:tcW w:w="1472" w:type="dxa"/>
            <w:vAlign w:val="center"/>
          </w:tcPr>
          <w:p>
            <w:pPr>
              <w:jc w:val="center"/>
              <w:rPr>
                <w:rFonts w:ascii="楷体" w:hAnsi="楷体" w:eastAsia="楷体" w:cs="楷体"/>
                <w:sz w:val="24"/>
                <w:szCs w:val="24"/>
              </w:rPr>
            </w:pPr>
          </w:p>
        </w:tc>
        <w:tc>
          <w:tcPr>
            <w:tcW w:w="1596" w:type="dxa"/>
            <w:vAlign w:val="center"/>
          </w:tcPr>
          <w:p>
            <w:pPr>
              <w:jc w:val="center"/>
              <w:rPr>
                <w:rFonts w:ascii="楷体" w:hAnsi="楷体" w:eastAsia="楷体" w:cs="楷体"/>
                <w:sz w:val="24"/>
                <w:szCs w:val="24"/>
              </w:rPr>
            </w:pPr>
          </w:p>
        </w:tc>
        <w:tc>
          <w:tcPr>
            <w:tcW w:w="1036" w:type="dxa"/>
            <w:vAlign w:val="center"/>
          </w:tcPr>
          <w:p>
            <w:pPr>
              <w:jc w:val="center"/>
              <w:rPr>
                <w:rFonts w:ascii="楷体" w:hAnsi="楷体" w:eastAsia="楷体" w:cs="楷体"/>
                <w:sz w:val="24"/>
                <w:szCs w:val="24"/>
              </w:rPr>
            </w:pPr>
          </w:p>
        </w:tc>
        <w:tc>
          <w:tcPr>
            <w:tcW w:w="1037" w:type="dxa"/>
            <w:vAlign w:val="center"/>
          </w:tcPr>
          <w:p>
            <w:pPr>
              <w:jc w:val="center"/>
              <w:rPr>
                <w:rFonts w:ascii="楷体" w:hAnsi="楷体" w:eastAsia="楷体" w:cs="楷体"/>
                <w:sz w:val="24"/>
                <w:szCs w:val="24"/>
              </w:rPr>
            </w:pPr>
          </w:p>
        </w:tc>
        <w:tc>
          <w:tcPr>
            <w:tcW w:w="1404" w:type="dxa"/>
            <w:vAlign w:val="center"/>
          </w:tcPr>
          <w:p>
            <w:pPr>
              <w:jc w:val="center"/>
              <w:rPr>
                <w:rFonts w:ascii="楷体" w:hAnsi="楷体" w:eastAsia="楷体" w:cs="楷体"/>
                <w:sz w:val="24"/>
                <w:szCs w:val="24"/>
              </w:rPr>
            </w:pPr>
          </w:p>
        </w:tc>
        <w:tc>
          <w:tcPr>
            <w:tcW w:w="1323" w:type="dxa"/>
            <w:vAlign w:val="center"/>
          </w:tcPr>
          <w:p>
            <w:pPr>
              <w:jc w:val="center"/>
              <w:rPr>
                <w:rFonts w:ascii="楷体" w:hAnsi="楷体" w:eastAsia="楷体" w:cs="楷体"/>
                <w:sz w:val="24"/>
                <w:szCs w:val="24"/>
              </w:rPr>
            </w:pPr>
          </w:p>
        </w:tc>
        <w:tc>
          <w:tcPr>
            <w:tcW w:w="1254" w:type="dxa"/>
            <w:vAlign w:val="center"/>
          </w:tcPr>
          <w:p>
            <w:pPr>
              <w:jc w:val="center"/>
              <w:rPr>
                <w:rFonts w:ascii="楷体" w:hAnsi="楷体" w:eastAsia="楷体" w:cs="楷体"/>
                <w:sz w:val="24"/>
                <w:szCs w:val="24"/>
              </w:rPr>
            </w:pPr>
          </w:p>
        </w:tc>
        <w:tc>
          <w:tcPr>
            <w:tcW w:w="1228" w:type="dxa"/>
            <w:vAlign w:val="center"/>
          </w:tcPr>
          <w:p>
            <w:pPr>
              <w:jc w:val="center"/>
              <w:rPr>
                <w:rFonts w:ascii="楷体" w:hAnsi="楷体" w:eastAsia="楷体" w:cs="楷体"/>
                <w:sz w:val="24"/>
                <w:szCs w:val="24"/>
              </w:rPr>
            </w:pPr>
          </w:p>
        </w:tc>
        <w:tc>
          <w:tcPr>
            <w:tcW w:w="1336" w:type="dxa"/>
            <w:vAlign w:val="center"/>
          </w:tcPr>
          <w:p>
            <w:pPr>
              <w:jc w:val="center"/>
              <w:rPr>
                <w:rFonts w:ascii="楷体" w:hAnsi="楷体" w:eastAsia="楷体" w:cs="楷体"/>
                <w:sz w:val="24"/>
                <w:szCs w:val="24"/>
              </w:rPr>
            </w:pPr>
          </w:p>
        </w:tc>
        <w:tc>
          <w:tcPr>
            <w:tcW w:w="1111" w:type="dxa"/>
            <w:vAlign w:val="center"/>
          </w:tcPr>
          <w:p>
            <w:pPr>
              <w:jc w:val="center"/>
              <w:rPr>
                <w:rFonts w:ascii="楷体" w:hAnsi="楷体" w:eastAsia="楷体" w:cs="楷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15" w:type="dxa"/>
            <w:vAlign w:val="center"/>
          </w:tcPr>
          <w:p>
            <w:pPr>
              <w:jc w:val="center"/>
              <w:rPr>
                <w:rFonts w:ascii="楷体" w:hAnsi="楷体" w:eastAsia="楷体" w:cs="楷体"/>
                <w:sz w:val="24"/>
                <w:szCs w:val="24"/>
              </w:rPr>
            </w:pPr>
          </w:p>
        </w:tc>
        <w:tc>
          <w:tcPr>
            <w:tcW w:w="1472" w:type="dxa"/>
            <w:vAlign w:val="center"/>
          </w:tcPr>
          <w:p>
            <w:pPr>
              <w:jc w:val="center"/>
              <w:rPr>
                <w:rFonts w:ascii="楷体" w:hAnsi="楷体" w:eastAsia="楷体" w:cs="楷体"/>
                <w:sz w:val="24"/>
                <w:szCs w:val="24"/>
              </w:rPr>
            </w:pPr>
          </w:p>
        </w:tc>
        <w:tc>
          <w:tcPr>
            <w:tcW w:w="1596" w:type="dxa"/>
            <w:vAlign w:val="center"/>
          </w:tcPr>
          <w:p>
            <w:pPr>
              <w:jc w:val="center"/>
              <w:rPr>
                <w:rFonts w:ascii="楷体" w:hAnsi="楷体" w:eastAsia="楷体" w:cs="楷体"/>
                <w:sz w:val="24"/>
                <w:szCs w:val="24"/>
              </w:rPr>
            </w:pPr>
          </w:p>
        </w:tc>
        <w:tc>
          <w:tcPr>
            <w:tcW w:w="1036" w:type="dxa"/>
            <w:vAlign w:val="center"/>
          </w:tcPr>
          <w:p>
            <w:pPr>
              <w:jc w:val="center"/>
              <w:rPr>
                <w:rFonts w:ascii="楷体" w:hAnsi="楷体" w:eastAsia="楷体" w:cs="楷体"/>
                <w:sz w:val="24"/>
                <w:szCs w:val="24"/>
              </w:rPr>
            </w:pPr>
          </w:p>
        </w:tc>
        <w:tc>
          <w:tcPr>
            <w:tcW w:w="1037" w:type="dxa"/>
            <w:vAlign w:val="center"/>
          </w:tcPr>
          <w:p>
            <w:pPr>
              <w:jc w:val="center"/>
              <w:rPr>
                <w:rFonts w:ascii="楷体" w:hAnsi="楷体" w:eastAsia="楷体" w:cs="楷体"/>
                <w:sz w:val="24"/>
                <w:szCs w:val="24"/>
              </w:rPr>
            </w:pPr>
          </w:p>
        </w:tc>
        <w:tc>
          <w:tcPr>
            <w:tcW w:w="1404" w:type="dxa"/>
            <w:vAlign w:val="center"/>
          </w:tcPr>
          <w:p>
            <w:pPr>
              <w:jc w:val="center"/>
              <w:rPr>
                <w:rFonts w:ascii="楷体" w:hAnsi="楷体" w:eastAsia="楷体" w:cs="楷体"/>
                <w:sz w:val="24"/>
                <w:szCs w:val="24"/>
              </w:rPr>
            </w:pPr>
          </w:p>
        </w:tc>
        <w:tc>
          <w:tcPr>
            <w:tcW w:w="1323" w:type="dxa"/>
            <w:vAlign w:val="center"/>
          </w:tcPr>
          <w:p>
            <w:pPr>
              <w:jc w:val="center"/>
              <w:rPr>
                <w:rFonts w:ascii="楷体" w:hAnsi="楷体" w:eastAsia="楷体" w:cs="楷体"/>
                <w:sz w:val="24"/>
                <w:szCs w:val="24"/>
              </w:rPr>
            </w:pPr>
          </w:p>
        </w:tc>
        <w:tc>
          <w:tcPr>
            <w:tcW w:w="1254" w:type="dxa"/>
            <w:vAlign w:val="center"/>
          </w:tcPr>
          <w:p>
            <w:pPr>
              <w:jc w:val="center"/>
              <w:rPr>
                <w:rFonts w:ascii="楷体" w:hAnsi="楷体" w:eastAsia="楷体" w:cs="楷体"/>
                <w:sz w:val="24"/>
                <w:szCs w:val="24"/>
              </w:rPr>
            </w:pPr>
          </w:p>
        </w:tc>
        <w:tc>
          <w:tcPr>
            <w:tcW w:w="1228" w:type="dxa"/>
            <w:vAlign w:val="center"/>
          </w:tcPr>
          <w:p>
            <w:pPr>
              <w:jc w:val="center"/>
              <w:rPr>
                <w:rFonts w:ascii="楷体" w:hAnsi="楷体" w:eastAsia="楷体" w:cs="楷体"/>
                <w:sz w:val="24"/>
                <w:szCs w:val="24"/>
              </w:rPr>
            </w:pPr>
          </w:p>
        </w:tc>
        <w:tc>
          <w:tcPr>
            <w:tcW w:w="1336" w:type="dxa"/>
            <w:vAlign w:val="center"/>
          </w:tcPr>
          <w:p>
            <w:pPr>
              <w:jc w:val="center"/>
              <w:rPr>
                <w:rFonts w:ascii="楷体" w:hAnsi="楷体" w:eastAsia="楷体" w:cs="楷体"/>
                <w:sz w:val="24"/>
                <w:szCs w:val="24"/>
              </w:rPr>
            </w:pPr>
          </w:p>
        </w:tc>
        <w:tc>
          <w:tcPr>
            <w:tcW w:w="1111" w:type="dxa"/>
            <w:vAlign w:val="center"/>
          </w:tcPr>
          <w:p>
            <w:pPr>
              <w:jc w:val="center"/>
              <w:rPr>
                <w:rFonts w:ascii="楷体" w:hAnsi="楷体" w:eastAsia="楷体" w:cs="楷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15" w:type="dxa"/>
            <w:vAlign w:val="center"/>
          </w:tcPr>
          <w:p>
            <w:pPr>
              <w:jc w:val="center"/>
              <w:rPr>
                <w:rFonts w:ascii="楷体" w:hAnsi="楷体" w:eastAsia="楷体" w:cs="楷体"/>
                <w:sz w:val="24"/>
                <w:szCs w:val="24"/>
              </w:rPr>
            </w:pPr>
          </w:p>
        </w:tc>
        <w:tc>
          <w:tcPr>
            <w:tcW w:w="1472" w:type="dxa"/>
            <w:vAlign w:val="center"/>
          </w:tcPr>
          <w:p>
            <w:pPr>
              <w:jc w:val="center"/>
              <w:rPr>
                <w:rFonts w:ascii="楷体" w:hAnsi="楷体" w:eastAsia="楷体" w:cs="楷体"/>
                <w:sz w:val="24"/>
                <w:szCs w:val="24"/>
              </w:rPr>
            </w:pPr>
          </w:p>
        </w:tc>
        <w:tc>
          <w:tcPr>
            <w:tcW w:w="1596" w:type="dxa"/>
            <w:vAlign w:val="center"/>
          </w:tcPr>
          <w:p>
            <w:pPr>
              <w:jc w:val="center"/>
              <w:rPr>
                <w:rFonts w:ascii="楷体" w:hAnsi="楷体" w:eastAsia="楷体" w:cs="楷体"/>
                <w:sz w:val="24"/>
                <w:szCs w:val="24"/>
              </w:rPr>
            </w:pPr>
          </w:p>
        </w:tc>
        <w:tc>
          <w:tcPr>
            <w:tcW w:w="1036" w:type="dxa"/>
            <w:vAlign w:val="center"/>
          </w:tcPr>
          <w:p>
            <w:pPr>
              <w:jc w:val="center"/>
              <w:rPr>
                <w:rFonts w:ascii="楷体" w:hAnsi="楷体" w:eastAsia="楷体" w:cs="楷体"/>
                <w:sz w:val="24"/>
                <w:szCs w:val="24"/>
              </w:rPr>
            </w:pPr>
          </w:p>
        </w:tc>
        <w:tc>
          <w:tcPr>
            <w:tcW w:w="1037" w:type="dxa"/>
            <w:vAlign w:val="center"/>
          </w:tcPr>
          <w:p>
            <w:pPr>
              <w:jc w:val="center"/>
              <w:rPr>
                <w:rFonts w:ascii="楷体" w:hAnsi="楷体" w:eastAsia="楷体" w:cs="楷体"/>
                <w:sz w:val="24"/>
                <w:szCs w:val="24"/>
              </w:rPr>
            </w:pPr>
          </w:p>
        </w:tc>
        <w:tc>
          <w:tcPr>
            <w:tcW w:w="1404" w:type="dxa"/>
            <w:vAlign w:val="center"/>
          </w:tcPr>
          <w:p>
            <w:pPr>
              <w:jc w:val="center"/>
              <w:rPr>
                <w:rFonts w:ascii="楷体" w:hAnsi="楷体" w:eastAsia="楷体" w:cs="楷体"/>
                <w:sz w:val="24"/>
                <w:szCs w:val="24"/>
              </w:rPr>
            </w:pPr>
          </w:p>
        </w:tc>
        <w:tc>
          <w:tcPr>
            <w:tcW w:w="1323" w:type="dxa"/>
            <w:vAlign w:val="center"/>
          </w:tcPr>
          <w:p>
            <w:pPr>
              <w:jc w:val="center"/>
              <w:rPr>
                <w:rFonts w:ascii="楷体" w:hAnsi="楷体" w:eastAsia="楷体" w:cs="楷体"/>
                <w:sz w:val="24"/>
                <w:szCs w:val="24"/>
              </w:rPr>
            </w:pPr>
          </w:p>
        </w:tc>
        <w:tc>
          <w:tcPr>
            <w:tcW w:w="1254" w:type="dxa"/>
            <w:vAlign w:val="center"/>
          </w:tcPr>
          <w:p>
            <w:pPr>
              <w:jc w:val="center"/>
              <w:rPr>
                <w:rFonts w:ascii="楷体" w:hAnsi="楷体" w:eastAsia="楷体" w:cs="楷体"/>
                <w:sz w:val="24"/>
                <w:szCs w:val="24"/>
              </w:rPr>
            </w:pPr>
          </w:p>
        </w:tc>
        <w:tc>
          <w:tcPr>
            <w:tcW w:w="1228" w:type="dxa"/>
            <w:vAlign w:val="center"/>
          </w:tcPr>
          <w:p>
            <w:pPr>
              <w:jc w:val="center"/>
              <w:rPr>
                <w:rFonts w:ascii="楷体" w:hAnsi="楷体" w:eastAsia="楷体" w:cs="楷体"/>
                <w:sz w:val="24"/>
                <w:szCs w:val="24"/>
              </w:rPr>
            </w:pPr>
          </w:p>
        </w:tc>
        <w:tc>
          <w:tcPr>
            <w:tcW w:w="1336" w:type="dxa"/>
            <w:vAlign w:val="center"/>
          </w:tcPr>
          <w:p>
            <w:pPr>
              <w:jc w:val="center"/>
              <w:rPr>
                <w:rFonts w:ascii="楷体" w:hAnsi="楷体" w:eastAsia="楷体" w:cs="楷体"/>
                <w:sz w:val="24"/>
                <w:szCs w:val="24"/>
              </w:rPr>
            </w:pPr>
          </w:p>
        </w:tc>
        <w:tc>
          <w:tcPr>
            <w:tcW w:w="1111" w:type="dxa"/>
            <w:vAlign w:val="center"/>
          </w:tcPr>
          <w:p>
            <w:pPr>
              <w:jc w:val="center"/>
              <w:rPr>
                <w:rFonts w:ascii="楷体" w:hAnsi="楷体" w:eastAsia="楷体" w:cs="楷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15" w:type="dxa"/>
            <w:vAlign w:val="center"/>
          </w:tcPr>
          <w:p>
            <w:pPr>
              <w:jc w:val="center"/>
              <w:rPr>
                <w:rFonts w:ascii="楷体" w:hAnsi="楷体" w:eastAsia="楷体" w:cs="楷体"/>
                <w:sz w:val="24"/>
                <w:szCs w:val="24"/>
              </w:rPr>
            </w:pPr>
          </w:p>
        </w:tc>
        <w:tc>
          <w:tcPr>
            <w:tcW w:w="1472" w:type="dxa"/>
            <w:vAlign w:val="center"/>
          </w:tcPr>
          <w:p>
            <w:pPr>
              <w:jc w:val="center"/>
              <w:rPr>
                <w:rFonts w:ascii="楷体" w:hAnsi="楷体" w:eastAsia="楷体" w:cs="楷体"/>
                <w:sz w:val="24"/>
                <w:szCs w:val="24"/>
              </w:rPr>
            </w:pPr>
          </w:p>
        </w:tc>
        <w:tc>
          <w:tcPr>
            <w:tcW w:w="1596" w:type="dxa"/>
            <w:vAlign w:val="center"/>
          </w:tcPr>
          <w:p>
            <w:pPr>
              <w:jc w:val="center"/>
              <w:rPr>
                <w:rFonts w:ascii="楷体" w:hAnsi="楷体" w:eastAsia="楷体" w:cs="楷体"/>
                <w:sz w:val="24"/>
                <w:szCs w:val="24"/>
              </w:rPr>
            </w:pPr>
          </w:p>
        </w:tc>
        <w:tc>
          <w:tcPr>
            <w:tcW w:w="1036" w:type="dxa"/>
            <w:vAlign w:val="center"/>
          </w:tcPr>
          <w:p>
            <w:pPr>
              <w:jc w:val="center"/>
              <w:rPr>
                <w:rFonts w:ascii="楷体" w:hAnsi="楷体" w:eastAsia="楷体" w:cs="楷体"/>
                <w:sz w:val="24"/>
                <w:szCs w:val="24"/>
              </w:rPr>
            </w:pPr>
          </w:p>
        </w:tc>
        <w:tc>
          <w:tcPr>
            <w:tcW w:w="1037" w:type="dxa"/>
            <w:vAlign w:val="center"/>
          </w:tcPr>
          <w:p>
            <w:pPr>
              <w:jc w:val="center"/>
              <w:rPr>
                <w:rFonts w:ascii="楷体" w:hAnsi="楷体" w:eastAsia="楷体" w:cs="楷体"/>
                <w:sz w:val="24"/>
                <w:szCs w:val="24"/>
              </w:rPr>
            </w:pPr>
          </w:p>
        </w:tc>
        <w:tc>
          <w:tcPr>
            <w:tcW w:w="1404" w:type="dxa"/>
            <w:vAlign w:val="center"/>
          </w:tcPr>
          <w:p>
            <w:pPr>
              <w:jc w:val="center"/>
              <w:rPr>
                <w:rFonts w:ascii="楷体" w:hAnsi="楷体" w:eastAsia="楷体" w:cs="楷体"/>
                <w:sz w:val="24"/>
                <w:szCs w:val="24"/>
              </w:rPr>
            </w:pPr>
          </w:p>
        </w:tc>
        <w:tc>
          <w:tcPr>
            <w:tcW w:w="1323" w:type="dxa"/>
            <w:vAlign w:val="center"/>
          </w:tcPr>
          <w:p>
            <w:pPr>
              <w:jc w:val="center"/>
              <w:rPr>
                <w:rFonts w:ascii="楷体" w:hAnsi="楷体" w:eastAsia="楷体" w:cs="楷体"/>
                <w:sz w:val="24"/>
                <w:szCs w:val="24"/>
              </w:rPr>
            </w:pPr>
          </w:p>
        </w:tc>
        <w:tc>
          <w:tcPr>
            <w:tcW w:w="1254" w:type="dxa"/>
            <w:vAlign w:val="center"/>
          </w:tcPr>
          <w:p>
            <w:pPr>
              <w:jc w:val="center"/>
              <w:rPr>
                <w:rFonts w:ascii="楷体" w:hAnsi="楷体" w:eastAsia="楷体" w:cs="楷体"/>
                <w:sz w:val="24"/>
                <w:szCs w:val="24"/>
              </w:rPr>
            </w:pPr>
          </w:p>
        </w:tc>
        <w:tc>
          <w:tcPr>
            <w:tcW w:w="1228" w:type="dxa"/>
            <w:vAlign w:val="center"/>
          </w:tcPr>
          <w:p>
            <w:pPr>
              <w:jc w:val="center"/>
              <w:rPr>
                <w:rFonts w:ascii="楷体" w:hAnsi="楷体" w:eastAsia="楷体" w:cs="楷体"/>
                <w:sz w:val="24"/>
                <w:szCs w:val="24"/>
              </w:rPr>
            </w:pPr>
          </w:p>
        </w:tc>
        <w:tc>
          <w:tcPr>
            <w:tcW w:w="1336" w:type="dxa"/>
            <w:vAlign w:val="center"/>
          </w:tcPr>
          <w:p>
            <w:pPr>
              <w:jc w:val="center"/>
              <w:rPr>
                <w:rFonts w:ascii="楷体" w:hAnsi="楷体" w:eastAsia="楷体" w:cs="楷体"/>
                <w:sz w:val="24"/>
                <w:szCs w:val="24"/>
              </w:rPr>
            </w:pPr>
          </w:p>
        </w:tc>
        <w:tc>
          <w:tcPr>
            <w:tcW w:w="1111" w:type="dxa"/>
            <w:vAlign w:val="center"/>
          </w:tcPr>
          <w:p>
            <w:pPr>
              <w:jc w:val="center"/>
              <w:rPr>
                <w:rFonts w:ascii="楷体" w:hAnsi="楷体" w:eastAsia="楷体" w:cs="楷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15" w:type="dxa"/>
            <w:vAlign w:val="center"/>
          </w:tcPr>
          <w:p>
            <w:pPr>
              <w:jc w:val="center"/>
              <w:rPr>
                <w:rFonts w:ascii="楷体" w:hAnsi="楷体" w:eastAsia="楷体" w:cs="楷体"/>
                <w:sz w:val="24"/>
                <w:szCs w:val="24"/>
              </w:rPr>
            </w:pPr>
          </w:p>
        </w:tc>
        <w:tc>
          <w:tcPr>
            <w:tcW w:w="1472" w:type="dxa"/>
            <w:vAlign w:val="center"/>
          </w:tcPr>
          <w:p>
            <w:pPr>
              <w:jc w:val="center"/>
              <w:rPr>
                <w:rFonts w:ascii="楷体" w:hAnsi="楷体" w:eastAsia="楷体" w:cs="楷体"/>
                <w:sz w:val="24"/>
                <w:szCs w:val="24"/>
              </w:rPr>
            </w:pPr>
          </w:p>
        </w:tc>
        <w:tc>
          <w:tcPr>
            <w:tcW w:w="1596" w:type="dxa"/>
            <w:vAlign w:val="center"/>
          </w:tcPr>
          <w:p>
            <w:pPr>
              <w:jc w:val="center"/>
              <w:rPr>
                <w:rFonts w:ascii="楷体" w:hAnsi="楷体" w:eastAsia="楷体" w:cs="楷体"/>
                <w:sz w:val="24"/>
                <w:szCs w:val="24"/>
              </w:rPr>
            </w:pPr>
          </w:p>
        </w:tc>
        <w:tc>
          <w:tcPr>
            <w:tcW w:w="1036" w:type="dxa"/>
            <w:vAlign w:val="center"/>
          </w:tcPr>
          <w:p>
            <w:pPr>
              <w:jc w:val="center"/>
              <w:rPr>
                <w:rFonts w:ascii="楷体" w:hAnsi="楷体" w:eastAsia="楷体" w:cs="楷体"/>
                <w:sz w:val="24"/>
                <w:szCs w:val="24"/>
              </w:rPr>
            </w:pPr>
          </w:p>
        </w:tc>
        <w:tc>
          <w:tcPr>
            <w:tcW w:w="1037" w:type="dxa"/>
            <w:vAlign w:val="center"/>
          </w:tcPr>
          <w:p>
            <w:pPr>
              <w:jc w:val="center"/>
              <w:rPr>
                <w:rFonts w:ascii="楷体" w:hAnsi="楷体" w:eastAsia="楷体" w:cs="楷体"/>
                <w:sz w:val="24"/>
                <w:szCs w:val="24"/>
              </w:rPr>
            </w:pPr>
          </w:p>
        </w:tc>
        <w:tc>
          <w:tcPr>
            <w:tcW w:w="1404" w:type="dxa"/>
            <w:vAlign w:val="center"/>
          </w:tcPr>
          <w:p>
            <w:pPr>
              <w:jc w:val="center"/>
              <w:rPr>
                <w:rFonts w:ascii="楷体" w:hAnsi="楷体" w:eastAsia="楷体" w:cs="楷体"/>
                <w:sz w:val="24"/>
                <w:szCs w:val="24"/>
              </w:rPr>
            </w:pPr>
          </w:p>
        </w:tc>
        <w:tc>
          <w:tcPr>
            <w:tcW w:w="1323" w:type="dxa"/>
            <w:vAlign w:val="center"/>
          </w:tcPr>
          <w:p>
            <w:pPr>
              <w:jc w:val="center"/>
              <w:rPr>
                <w:rFonts w:ascii="楷体" w:hAnsi="楷体" w:eastAsia="楷体" w:cs="楷体"/>
                <w:sz w:val="24"/>
                <w:szCs w:val="24"/>
              </w:rPr>
            </w:pPr>
          </w:p>
        </w:tc>
        <w:tc>
          <w:tcPr>
            <w:tcW w:w="1254" w:type="dxa"/>
            <w:vAlign w:val="center"/>
          </w:tcPr>
          <w:p>
            <w:pPr>
              <w:jc w:val="center"/>
              <w:rPr>
                <w:rFonts w:ascii="楷体" w:hAnsi="楷体" w:eastAsia="楷体" w:cs="楷体"/>
                <w:sz w:val="24"/>
                <w:szCs w:val="24"/>
              </w:rPr>
            </w:pPr>
          </w:p>
        </w:tc>
        <w:tc>
          <w:tcPr>
            <w:tcW w:w="1228" w:type="dxa"/>
            <w:vAlign w:val="center"/>
          </w:tcPr>
          <w:p>
            <w:pPr>
              <w:jc w:val="center"/>
              <w:rPr>
                <w:rFonts w:ascii="楷体" w:hAnsi="楷体" w:eastAsia="楷体" w:cs="楷体"/>
                <w:sz w:val="24"/>
                <w:szCs w:val="24"/>
              </w:rPr>
            </w:pPr>
          </w:p>
        </w:tc>
        <w:tc>
          <w:tcPr>
            <w:tcW w:w="1336" w:type="dxa"/>
            <w:vAlign w:val="center"/>
          </w:tcPr>
          <w:p>
            <w:pPr>
              <w:jc w:val="center"/>
              <w:rPr>
                <w:rFonts w:ascii="楷体" w:hAnsi="楷体" w:eastAsia="楷体" w:cs="楷体"/>
                <w:sz w:val="24"/>
                <w:szCs w:val="24"/>
              </w:rPr>
            </w:pPr>
          </w:p>
        </w:tc>
        <w:tc>
          <w:tcPr>
            <w:tcW w:w="1111" w:type="dxa"/>
            <w:vAlign w:val="center"/>
          </w:tcPr>
          <w:p>
            <w:pPr>
              <w:jc w:val="center"/>
              <w:rPr>
                <w:rFonts w:ascii="楷体" w:hAnsi="楷体" w:eastAsia="楷体" w:cs="楷体"/>
                <w:sz w:val="24"/>
                <w:szCs w:val="24"/>
              </w:rPr>
            </w:pPr>
          </w:p>
        </w:tc>
      </w:tr>
    </w:tbl>
    <w:p>
      <w:pPr>
        <w:rPr>
          <w:rFonts w:eastAsia="宋体"/>
          <w:sz w:val="21"/>
          <w:szCs w:val="24"/>
        </w:rPr>
      </w:pPr>
      <w:r>
        <w:rPr>
          <w:rFonts w:hint="eastAsia" w:eastAsia="宋体"/>
          <w:sz w:val="21"/>
          <w:szCs w:val="24"/>
        </w:rPr>
        <w:t xml:space="preserve">注： </w:t>
      </w:r>
    </w:p>
    <w:p>
      <w:pPr>
        <w:numPr>
          <w:ilvl w:val="0"/>
          <w:numId w:val="2"/>
        </w:numPr>
        <w:ind w:left="150" w:leftChars="1" w:hanging="147" w:hangingChars="70"/>
        <w:rPr>
          <w:rFonts w:eastAsia="宋体"/>
          <w:sz w:val="21"/>
          <w:szCs w:val="24"/>
        </w:rPr>
      </w:pPr>
      <w:r>
        <w:rPr>
          <w:rFonts w:hint="eastAsia" w:eastAsia="宋体"/>
          <w:sz w:val="21"/>
          <w:szCs w:val="24"/>
        </w:rPr>
        <w:t>类型主要有：污水接入雨水、雨水接入污水、截流井（泵站）、河水倒灌、排出口封堵、阳台水合流、山水混接、管道破损渗漏、合流管直接进污水等。</w:t>
      </w:r>
    </w:p>
    <w:p>
      <w:pPr>
        <w:numPr>
          <w:ilvl w:val="0"/>
          <w:numId w:val="2"/>
        </w:numPr>
        <w:ind w:left="360" w:leftChars="1" w:hanging="357" w:hangingChars="170"/>
        <w:rPr>
          <w:rFonts w:eastAsia="宋体"/>
          <w:sz w:val="21"/>
          <w:szCs w:val="24"/>
        </w:rPr>
      </w:pPr>
      <w:r>
        <w:rPr>
          <w:rFonts w:hint="eastAsia" w:eastAsia="宋体"/>
          <w:sz w:val="21"/>
          <w:szCs w:val="24"/>
        </w:rPr>
        <w:t>处理意见主要有：长效手段、即查即改、立项解决、疑难问题。</w:t>
      </w:r>
    </w:p>
    <w:p>
      <w:pPr>
        <w:numPr>
          <w:ilvl w:val="0"/>
          <w:numId w:val="2"/>
        </w:numPr>
        <w:ind w:left="360" w:leftChars="1" w:hanging="357" w:hangingChars="170"/>
        <w:rPr>
          <w:rFonts w:eastAsia="宋体"/>
          <w:sz w:val="21"/>
          <w:szCs w:val="24"/>
        </w:rPr>
      </w:pPr>
      <w:r>
        <w:rPr>
          <w:rFonts w:hint="eastAsia" w:eastAsia="宋体"/>
          <w:sz w:val="21"/>
          <w:szCs w:val="24"/>
        </w:rPr>
        <w:t>所有问题均要和图纸一一对应，统计全面。</w:t>
      </w:r>
    </w:p>
    <w:p>
      <w:pPr>
        <w:rPr>
          <w:sz w:val="24"/>
          <w:szCs w:val="24"/>
        </w:rPr>
      </w:pPr>
      <w:r>
        <w:rPr>
          <w:sz w:val="24"/>
          <w:szCs w:val="24"/>
        </w:rPr>
        <w:t xml:space="preserve"> </w:t>
      </w:r>
    </w:p>
    <w:p>
      <w:pPr>
        <w:ind w:left="359"/>
        <w:sectPr>
          <w:pgSz w:w="16838" w:h="11906" w:orient="landscape"/>
          <w:pgMar w:top="1440" w:right="1800" w:bottom="1440" w:left="1800" w:header="851" w:footer="992" w:gutter="0"/>
          <w:cols w:space="720" w:num="1"/>
          <w:docGrid w:type="lines" w:linePitch="312" w:charSpace="0"/>
        </w:sectPr>
      </w:pPr>
    </w:p>
    <w:p>
      <w:pPr>
        <w:ind w:firstLine="3000" w:firstLineChars="1000"/>
        <w:jc w:val="left"/>
        <w:rPr>
          <w:kern w:val="0"/>
          <w:sz w:val="40"/>
        </w:rPr>
      </w:pPr>
      <w:r>
        <w:rPr>
          <w:rFonts w:hint="eastAsia" w:ascii="黑体" w:hAnsi="黑体" w:eastAsia="黑体" w:cs="黑体"/>
          <w:color w:val="000000"/>
          <w:kern w:val="0"/>
          <w:sz w:val="30"/>
          <w:szCs w:val="30"/>
        </w:rPr>
        <w:t>现状排水平面图（样稿）</w:t>
      </w:r>
      <w:r>
        <w:object>
          <v:shape id="_x0000_i1025" o:spt="75" alt="" type="#_x0000_t75" style="height:588.25pt;width:423.15pt;" o:ole="t" filled="f" o:preferrelative="t" stroked="f" coordsize="21600,21600">
            <v:path/>
            <v:fill on="f" focussize="0,0"/>
            <v:stroke on="f"/>
            <v:imagedata r:id="rId10" cropleft="5461f" croptop="5788f" cropright="5179f" cropbottom="5855f" o:title=""/>
            <o:lock v:ext="edit" aspectratio="t"/>
            <w10:wrap type="none"/>
            <w10:anchorlock/>
          </v:shape>
          <o:OLEObject Type="Embed" ProgID="AcroExch.Document.DC" ShapeID="_x0000_i1025" DrawAspect="Content" ObjectID="_1468075725" r:id="rId9">
            <o:LockedField>false</o:LockedField>
          </o:OLEObject>
        </w:object>
      </w:r>
    </w:p>
    <w:p>
      <w:pPr>
        <w:spacing w:line="560" w:lineRule="exact"/>
        <w:rPr>
          <w:rFonts w:ascii="仿宋_GB2312" w:hAnsi="仿宋_GB2312" w:cs="仿宋_GB2312"/>
          <w:color w:val="000000"/>
          <w:kern w:val="0"/>
          <w:sz w:val="30"/>
          <w:szCs w:val="30"/>
        </w:rPr>
      </w:pPr>
      <w:r>
        <w:br w:type="page"/>
      </w:r>
    </w:p>
    <w:p>
      <w:pPr>
        <w:pStyle w:val="8"/>
        <w:ind w:firstLine="0" w:firstLineChars="0"/>
        <w:outlineLvl w:val="9"/>
        <w:rPr>
          <w:rFonts w:ascii="楷体" w:hAnsi="楷体" w:eastAsia="楷体" w:cs="楷体"/>
        </w:rPr>
      </w:pPr>
      <w:r>
        <w:rPr>
          <w:rFonts w:hint="eastAsia" w:ascii="楷体" w:hAnsi="楷体" w:eastAsia="楷体" w:cs="楷体"/>
        </w:rPr>
        <w:t>附件2</w:t>
      </w:r>
    </w:p>
    <w:p>
      <w:pPr>
        <w:pStyle w:val="7"/>
        <w:outlineLvl w:val="9"/>
        <w:rPr>
          <w:color w:val="auto"/>
          <w:sz w:val="36"/>
        </w:rPr>
      </w:pPr>
    </w:p>
    <w:p>
      <w:pPr>
        <w:pStyle w:val="7"/>
        <w:rPr>
          <w:rFonts w:ascii="黑体" w:hAnsi="黑体" w:eastAsia="黑体" w:cs="黑体"/>
          <w:color w:val="auto"/>
          <w:sz w:val="36"/>
        </w:rPr>
      </w:pPr>
      <w:r>
        <w:rPr>
          <w:rFonts w:hint="eastAsia" w:ascii="黑体" w:hAnsi="黑体" w:eastAsia="黑体" w:cs="黑体"/>
          <w:color w:val="auto"/>
          <w:sz w:val="36"/>
        </w:rPr>
        <w:t>萧山区工业园区（工业集聚区）类“污水零直排区”</w:t>
      </w:r>
    </w:p>
    <w:p>
      <w:pPr>
        <w:pStyle w:val="7"/>
        <w:rPr>
          <w:rFonts w:ascii="黑体" w:hAnsi="黑体" w:eastAsia="黑体" w:cs="黑体"/>
          <w:color w:val="auto"/>
          <w:sz w:val="36"/>
        </w:rPr>
      </w:pPr>
      <w:r>
        <w:rPr>
          <w:rFonts w:hint="eastAsia" w:ascii="黑体" w:hAnsi="黑体" w:eastAsia="黑体" w:cs="黑体"/>
          <w:color w:val="auto"/>
          <w:sz w:val="36"/>
        </w:rPr>
        <w:t>建设指导意见</w:t>
      </w:r>
    </w:p>
    <w:p>
      <w:pPr>
        <w:pStyle w:val="9"/>
        <w:ind w:firstLine="0" w:firstLineChars="0"/>
        <w:jc w:val="center"/>
        <w:rPr>
          <w:color w:val="auto"/>
        </w:rPr>
      </w:pPr>
      <w:r>
        <w:rPr>
          <w:rFonts w:hint="eastAsia"/>
          <w:color w:val="auto"/>
        </w:rPr>
        <w:t>（试行）</w:t>
      </w:r>
    </w:p>
    <w:p>
      <w:pPr>
        <w:pStyle w:val="7"/>
        <w:spacing w:line="560" w:lineRule="exact"/>
        <w:outlineLvl w:val="9"/>
        <w:rPr>
          <w:color w:val="auto"/>
          <w:kern w:val="0"/>
          <w:sz w:val="40"/>
        </w:rPr>
      </w:pPr>
    </w:p>
    <w:p>
      <w:pPr>
        <w:pStyle w:val="8"/>
        <w:spacing w:line="490" w:lineRule="exact"/>
        <w:ind w:firstLine="602"/>
        <w:rPr>
          <w:rFonts w:ascii="仿宋_GB2312" w:hAnsi="仿宋_GB2312" w:eastAsia="仿宋_GB2312" w:cs="仿宋_GB2312"/>
          <w:b/>
          <w:bCs w:val="0"/>
          <w:sz w:val="28"/>
          <w:szCs w:val="28"/>
        </w:rPr>
      </w:pPr>
      <w:r>
        <w:rPr>
          <w:rFonts w:hint="eastAsia" w:ascii="仿宋_GB2312" w:hAnsi="仿宋_GB2312" w:eastAsia="仿宋_GB2312" w:cs="仿宋_GB2312"/>
          <w:b/>
          <w:bCs w:val="0"/>
          <w:sz w:val="28"/>
          <w:szCs w:val="28"/>
        </w:rPr>
        <w:t>一、工业园区（工业集聚区）整体要求</w:t>
      </w:r>
    </w:p>
    <w:p>
      <w:pPr>
        <w:spacing w:line="490" w:lineRule="exact"/>
        <w:ind w:firstLine="560" w:firstLineChars="200"/>
        <w:rPr>
          <w:rFonts w:ascii="仿宋_GB2312" w:hAnsi="仿宋_GB2312" w:cs="仿宋_GB2312"/>
          <w:kern w:val="0"/>
          <w:sz w:val="28"/>
          <w:szCs w:val="28"/>
        </w:rPr>
      </w:pPr>
      <w:r>
        <w:rPr>
          <w:rFonts w:hint="eastAsia" w:ascii="仿宋_GB2312" w:hAnsi="仿宋_GB2312" w:cs="仿宋_GB2312"/>
          <w:kern w:val="0"/>
          <w:sz w:val="28"/>
          <w:szCs w:val="28"/>
        </w:rPr>
        <w:t>1.园区有雨污分流规划或建设计划，编制“污水零直排区”建设实施方案，建立清单，报上级治水办备案。</w:t>
      </w:r>
    </w:p>
    <w:p>
      <w:pPr>
        <w:spacing w:line="490" w:lineRule="exact"/>
        <w:ind w:firstLine="560" w:firstLineChars="200"/>
        <w:rPr>
          <w:rFonts w:ascii="仿宋_GB2312" w:hAnsi="仿宋_GB2312" w:cs="仿宋_GB2312"/>
          <w:kern w:val="0"/>
          <w:sz w:val="28"/>
          <w:szCs w:val="28"/>
        </w:rPr>
      </w:pPr>
      <w:r>
        <w:rPr>
          <w:rFonts w:hint="eastAsia" w:ascii="仿宋_GB2312" w:hAnsi="仿宋_GB2312" w:cs="仿宋_GB2312"/>
          <w:kern w:val="0"/>
          <w:sz w:val="28"/>
          <w:szCs w:val="28"/>
        </w:rPr>
        <w:t>2.组织开展园区截污纳管排查，重点查明污水排水体系、雨污有无混接等问题。</w:t>
      </w:r>
    </w:p>
    <w:p>
      <w:pPr>
        <w:spacing w:line="490" w:lineRule="exact"/>
        <w:ind w:firstLine="560" w:firstLineChars="200"/>
        <w:rPr>
          <w:rFonts w:ascii="仿宋_GB2312" w:hAnsi="仿宋_GB2312" w:cs="仿宋_GB2312"/>
          <w:kern w:val="0"/>
          <w:sz w:val="28"/>
          <w:szCs w:val="28"/>
        </w:rPr>
      </w:pPr>
      <w:r>
        <w:rPr>
          <w:rFonts w:hint="eastAsia" w:ascii="仿宋_GB2312" w:hAnsi="仿宋_GB2312" w:cs="仿宋_GB2312"/>
          <w:kern w:val="0"/>
          <w:sz w:val="28"/>
          <w:szCs w:val="28"/>
        </w:rPr>
        <w:t>3.严格实行雨污分流，雨、污水收集系统完备，管网布置合理、运行正常，测绘并厘清现有管网系统布局走向、管网底帐。</w:t>
      </w:r>
    </w:p>
    <w:p>
      <w:pPr>
        <w:spacing w:line="490" w:lineRule="exact"/>
        <w:ind w:firstLine="560" w:firstLineChars="200"/>
        <w:rPr>
          <w:rFonts w:ascii="仿宋_GB2312" w:hAnsi="仿宋_GB2312" w:cs="仿宋_GB2312"/>
          <w:kern w:val="0"/>
          <w:sz w:val="28"/>
          <w:szCs w:val="28"/>
        </w:rPr>
      </w:pPr>
      <w:r>
        <w:rPr>
          <w:rFonts w:hint="eastAsia" w:ascii="仿宋_GB2312" w:hAnsi="仿宋_GB2312" w:cs="仿宋_GB2312"/>
          <w:kern w:val="0"/>
          <w:sz w:val="28"/>
          <w:szCs w:val="28"/>
        </w:rPr>
        <w:t>4.园区按规定建成符合要求的污水集中处理设施，并正常运行；安装在线监测监控设施，并实现与环保部门联网。</w:t>
      </w:r>
    </w:p>
    <w:p>
      <w:pPr>
        <w:spacing w:line="490" w:lineRule="exact"/>
        <w:ind w:firstLine="560" w:firstLineChars="200"/>
        <w:rPr>
          <w:rFonts w:ascii="仿宋_GB2312" w:hAnsi="仿宋_GB2312" w:cs="仿宋_GB2312"/>
          <w:kern w:val="0"/>
          <w:sz w:val="28"/>
          <w:szCs w:val="28"/>
        </w:rPr>
      </w:pPr>
      <w:r>
        <w:rPr>
          <w:rFonts w:hint="eastAsia" w:ascii="仿宋_GB2312" w:hAnsi="仿宋_GB2312" w:cs="仿宋_GB2312"/>
          <w:kern w:val="0"/>
          <w:sz w:val="28"/>
          <w:szCs w:val="28"/>
        </w:rPr>
        <w:t>5.所有入河（湖库）排污（水）口完成整治，实现“沿河排水口无污水排放”。</w:t>
      </w:r>
    </w:p>
    <w:p>
      <w:pPr>
        <w:spacing w:line="490" w:lineRule="exact"/>
        <w:ind w:firstLine="560" w:firstLineChars="200"/>
        <w:rPr>
          <w:rFonts w:ascii="仿宋_GB2312" w:hAnsi="仿宋_GB2312" w:cs="仿宋_GB2312"/>
          <w:kern w:val="0"/>
          <w:sz w:val="28"/>
          <w:szCs w:val="28"/>
        </w:rPr>
      </w:pPr>
      <w:r>
        <w:rPr>
          <w:rFonts w:hint="eastAsia" w:ascii="仿宋_GB2312" w:hAnsi="仿宋_GB2312" w:cs="仿宋_GB2312"/>
          <w:kern w:val="0"/>
          <w:sz w:val="28"/>
          <w:szCs w:val="28"/>
        </w:rPr>
        <w:t>6.建立并实施管网维护长效管理机制，落实资金、人员、设备等保障。</w:t>
      </w:r>
    </w:p>
    <w:p>
      <w:pPr>
        <w:spacing w:line="490" w:lineRule="exact"/>
        <w:ind w:firstLine="560" w:firstLineChars="200"/>
        <w:rPr>
          <w:rFonts w:ascii="仿宋_GB2312" w:hAnsi="仿宋_GB2312" w:cs="仿宋_GB2312"/>
          <w:kern w:val="0"/>
          <w:sz w:val="28"/>
          <w:szCs w:val="28"/>
        </w:rPr>
      </w:pPr>
      <w:r>
        <w:rPr>
          <w:rFonts w:hint="eastAsia" w:ascii="仿宋_GB2312" w:hAnsi="仿宋_GB2312" w:cs="仿宋_GB2312"/>
          <w:kern w:val="0"/>
          <w:sz w:val="28"/>
          <w:szCs w:val="28"/>
        </w:rPr>
        <w:t>7.按要求开展管网管护、建设和修复整治等工作，管网无错接、乱接、漏接、淤积、错位、破损、溢漏等结构性和功能性缺陷。</w:t>
      </w:r>
    </w:p>
    <w:p>
      <w:pPr>
        <w:spacing w:line="490" w:lineRule="exact"/>
        <w:ind w:firstLine="560" w:firstLineChars="200"/>
        <w:rPr>
          <w:rFonts w:ascii="仿宋_GB2312" w:hAnsi="仿宋_GB2312" w:cs="仿宋_GB2312"/>
          <w:kern w:val="0"/>
          <w:sz w:val="28"/>
          <w:szCs w:val="28"/>
        </w:rPr>
      </w:pPr>
      <w:r>
        <w:rPr>
          <w:rFonts w:hint="eastAsia" w:ascii="仿宋_GB2312" w:hAnsi="仿宋_GB2312" w:cs="仿宋_GB2312"/>
          <w:kern w:val="0"/>
          <w:sz w:val="28"/>
          <w:szCs w:val="28"/>
        </w:rPr>
        <w:t>8.园区台帐资料齐全，建立和完善已建管网移交和档案管理制度。</w:t>
      </w:r>
    </w:p>
    <w:p>
      <w:pPr>
        <w:spacing w:line="490" w:lineRule="exact"/>
        <w:ind w:firstLine="560" w:firstLineChars="200"/>
        <w:rPr>
          <w:rFonts w:ascii="仿宋_GB2312" w:hAnsi="仿宋_GB2312" w:cs="仿宋_GB2312"/>
          <w:kern w:val="0"/>
          <w:sz w:val="28"/>
          <w:szCs w:val="28"/>
        </w:rPr>
      </w:pPr>
      <w:r>
        <w:rPr>
          <w:rFonts w:hint="eastAsia" w:ascii="仿宋_GB2312" w:hAnsi="仿宋_GB2312" w:cs="仿宋_GB2312"/>
          <w:kern w:val="0"/>
          <w:sz w:val="28"/>
          <w:szCs w:val="28"/>
        </w:rPr>
        <w:t>9.有污染的区块必须建立初期雨水收集池，受污染的初期雨水处理达标后排放或纳入市政污水管网。</w:t>
      </w:r>
    </w:p>
    <w:p>
      <w:pPr>
        <w:pStyle w:val="8"/>
        <w:spacing w:line="490" w:lineRule="exact"/>
        <w:ind w:firstLine="602"/>
        <w:rPr>
          <w:rFonts w:ascii="仿宋_GB2312" w:hAnsi="仿宋_GB2312" w:eastAsia="仿宋_GB2312" w:cs="仿宋_GB2312"/>
          <w:b/>
          <w:bCs w:val="0"/>
          <w:sz w:val="28"/>
          <w:szCs w:val="28"/>
        </w:rPr>
      </w:pPr>
      <w:r>
        <w:rPr>
          <w:rFonts w:hint="eastAsia" w:ascii="仿宋_GB2312" w:hAnsi="仿宋_GB2312" w:eastAsia="仿宋_GB2312" w:cs="仿宋_GB2312"/>
          <w:b/>
          <w:bCs w:val="0"/>
          <w:sz w:val="28"/>
          <w:szCs w:val="28"/>
        </w:rPr>
        <w:t>二、工业园区（工业集聚区）内工业企业要求</w:t>
      </w:r>
    </w:p>
    <w:p>
      <w:pPr>
        <w:spacing w:line="490" w:lineRule="exact"/>
        <w:ind w:firstLine="560" w:firstLineChars="200"/>
        <w:rPr>
          <w:rFonts w:ascii="仿宋_GB2312" w:hAnsi="仿宋_GB2312" w:cs="仿宋_GB2312"/>
          <w:kern w:val="0"/>
          <w:sz w:val="28"/>
          <w:szCs w:val="28"/>
        </w:rPr>
      </w:pPr>
      <w:r>
        <w:rPr>
          <w:rFonts w:hint="eastAsia" w:ascii="仿宋_GB2312" w:hAnsi="仿宋_GB2312" w:cs="仿宋_GB2312"/>
          <w:kern w:val="0"/>
          <w:sz w:val="28"/>
          <w:szCs w:val="28"/>
        </w:rPr>
        <w:t>1.企业环保管理组织架构健全，主体责任落实，日常管理制度健全。</w:t>
      </w:r>
    </w:p>
    <w:p>
      <w:pPr>
        <w:spacing w:line="490" w:lineRule="exact"/>
        <w:ind w:firstLine="560" w:firstLineChars="200"/>
        <w:rPr>
          <w:rFonts w:ascii="仿宋_GB2312" w:hAnsi="仿宋_GB2312" w:cs="仿宋_GB2312"/>
          <w:kern w:val="0"/>
          <w:sz w:val="28"/>
          <w:szCs w:val="28"/>
        </w:rPr>
      </w:pPr>
      <w:r>
        <w:rPr>
          <w:rFonts w:hint="eastAsia" w:ascii="仿宋_GB2312" w:hAnsi="仿宋_GB2312" w:cs="仿宋_GB2312"/>
          <w:kern w:val="0"/>
          <w:sz w:val="28"/>
          <w:szCs w:val="28"/>
        </w:rPr>
        <w:t>2.企业依法开展环境影响评价，并根据法律法规规定，取得排污许可证。</w:t>
      </w:r>
    </w:p>
    <w:p>
      <w:pPr>
        <w:spacing w:line="490" w:lineRule="exact"/>
        <w:ind w:firstLine="560" w:firstLineChars="200"/>
        <w:rPr>
          <w:rFonts w:ascii="仿宋_GB2312" w:hAnsi="仿宋_GB2312" w:cs="仿宋_GB2312"/>
          <w:kern w:val="0"/>
          <w:sz w:val="28"/>
          <w:szCs w:val="28"/>
        </w:rPr>
      </w:pPr>
      <w:r>
        <w:rPr>
          <w:rFonts w:hint="eastAsia" w:ascii="仿宋_GB2312" w:hAnsi="仿宋_GB2312" w:cs="仿宋_GB2312"/>
          <w:kern w:val="0"/>
          <w:sz w:val="28"/>
          <w:szCs w:val="28"/>
        </w:rPr>
        <w:t>3.列入整治范围的企业，制定“一点一策”治理方案，确定项目表、时间表和责任表。</w:t>
      </w:r>
    </w:p>
    <w:p>
      <w:pPr>
        <w:spacing w:line="490" w:lineRule="exact"/>
        <w:ind w:firstLine="560" w:firstLineChars="200"/>
        <w:rPr>
          <w:rFonts w:ascii="仿宋_GB2312" w:hAnsi="仿宋_GB2312" w:cs="仿宋_GB2312"/>
          <w:kern w:val="0"/>
          <w:sz w:val="28"/>
          <w:szCs w:val="28"/>
        </w:rPr>
      </w:pPr>
      <w:r>
        <w:rPr>
          <w:rFonts w:hint="eastAsia" w:ascii="仿宋_GB2312" w:hAnsi="仿宋_GB2312" w:cs="仿宋_GB2312"/>
          <w:kern w:val="0"/>
          <w:sz w:val="28"/>
          <w:szCs w:val="28"/>
        </w:rPr>
        <w:t>4.企业建设独立的雨污分流系统，且排水管网走向清楚。</w:t>
      </w:r>
    </w:p>
    <w:p>
      <w:pPr>
        <w:spacing w:line="490" w:lineRule="exact"/>
        <w:ind w:firstLine="560" w:firstLineChars="200"/>
        <w:rPr>
          <w:rFonts w:ascii="仿宋_GB2312" w:hAnsi="仿宋_GB2312" w:cs="仿宋_GB2312"/>
          <w:kern w:val="0"/>
          <w:sz w:val="28"/>
          <w:szCs w:val="28"/>
        </w:rPr>
      </w:pPr>
      <w:r>
        <w:rPr>
          <w:rFonts w:hint="eastAsia" w:ascii="仿宋_GB2312" w:hAnsi="仿宋_GB2312" w:cs="仿宋_GB2312"/>
          <w:kern w:val="0"/>
          <w:sz w:val="28"/>
          <w:szCs w:val="28"/>
        </w:rPr>
        <w:t>5.工业废水、生活污水和雨水实行清污分流、分质分流、分质处理。</w:t>
      </w:r>
    </w:p>
    <w:p>
      <w:pPr>
        <w:spacing w:line="490" w:lineRule="exact"/>
        <w:ind w:firstLine="560" w:firstLineChars="200"/>
        <w:rPr>
          <w:rFonts w:ascii="仿宋_GB2312" w:hAnsi="仿宋_GB2312" w:cs="仿宋_GB2312"/>
          <w:kern w:val="0"/>
          <w:sz w:val="28"/>
          <w:szCs w:val="28"/>
        </w:rPr>
      </w:pPr>
      <w:r>
        <w:rPr>
          <w:rFonts w:hint="eastAsia" w:ascii="仿宋_GB2312" w:hAnsi="仿宋_GB2312" w:cs="仿宋_GB2312"/>
          <w:kern w:val="0"/>
          <w:sz w:val="28"/>
          <w:szCs w:val="28"/>
        </w:rPr>
        <w:t>6.企业纳入污水管网排放的，根据法律法规规定，取得排水许可证。</w:t>
      </w:r>
    </w:p>
    <w:p>
      <w:pPr>
        <w:spacing w:line="490" w:lineRule="exact"/>
        <w:ind w:firstLine="560" w:firstLineChars="200"/>
        <w:rPr>
          <w:rFonts w:ascii="仿宋_GB2312" w:hAnsi="仿宋_GB2312" w:cs="仿宋_GB2312"/>
          <w:kern w:val="0"/>
          <w:sz w:val="28"/>
          <w:szCs w:val="28"/>
        </w:rPr>
      </w:pPr>
      <w:r>
        <w:rPr>
          <w:rFonts w:hint="eastAsia" w:ascii="仿宋_GB2312" w:hAnsi="仿宋_GB2312" w:cs="仿宋_GB2312"/>
          <w:kern w:val="0"/>
          <w:sz w:val="28"/>
          <w:szCs w:val="28"/>
        </w:rPr>
        <w:t>7.企业按要求需要建设污水处理设施的，设施运行正常、运行管理制度健全、台帐资料齐全。</w:t>
      </w:r>
    </w:p>
    <w:p>
      <w:pPr>
        <w:spacing w:line="490" w:lineRule="exact"/>
        <w:ind w:firstLine="560" w:firstLineChars="200"/>
        <w:rPr>
          <w:rFonts w:ascii="仿宋_GB2312" w:hAnsi="仿宋_GB2312" w:cs="仿宋_GB2312"/>
          <w:kern w:val="0"/>
          <w:sz w:val="28"/>
          <w:szCs w:val="28"/>
        </w:rPr>
      </w:pPr>
      <w:r>
        <w:rPr>
          <w:rFonts w:hint="eastAsia" w:ascii="仿宋_GB2312" w:hAnsi="仿宋_GB2312" w:cs="仿宋_GB2312"/>
          <w:kern w:val="0"/>
          <w:sz w:val="28"/>
          <w:szCs w:val="28"/>
        </w:rPr>
        <w:t>8.企业有一类污染物排放的，在车间出口设置污水处理设施。</w:t>
      </w:r>
    </w:p>
    <w:p>
      <w:pPr>
        <w:spacing w:line="490" w:lineRule="exact"/>
        <w:ind w:firstLine="560" w:firstLineChars="200"/>
        <w:rPr>
          <w:rFonts w:ascii="仿宋_GB2312" w:hAnsi="仿宋_GB2312" w:cs="仿宋_GB2312"/>
          <w:kern w:val="0"/>
          <w:sz w:val="28"/>
          <w:szCs w:val="28"/>
        </w:rPr>
      </w:pPr>
      <w:r>
        <w:rPr>
          <w:rFonts w:hint="eastAsia" w:ascii="仿宋_GB2312" w:hAnsi="仿宋_GB2312" w:cs="仿宋_GB2312"/>
          <w:kern w:val="0"/>
          <w:sz w:val="28"/>
          <w:szCs w:val="28"/>
        </w:rPr>
        <w:t>9.列入水污染源重点排污单位清单的企业，按要求建设在线监测监控设施，并能正常使用。</w:t>
      </w:r>
    </w:p>
    <w:p>
      <w:pPr>
        <w:spacing w:line="490" w:lineRule="exact"/>
        <w:ind w:firstLine="560" w:firstLineChars="200"/>
        <w:rPr>
          <w:rFonts w:ascii="仿宋_GB2312" w:hAnsi="仿宋_GB2312" w:cs="仿宋_GB2312"/>
          <w:kern w:val="0"/>
          <w:sz w:val="28"/>
          <w:szCs w:val="28"/>
        </w:rPr>
      </w:pPr>
      <w:r>
        <w:rPr>
          <w:rFonts w:hint="eastAsia" w:ascii="仿宋_GB2312" w:hAnsi="仿宋_GB2312" w:cs="仿宋_GB2312"/>
          <w:kern w:val="0"/>
          <w:sz w:val="28"/>
          <w:szCs w:val="28"/>
        </w:rPr>
        <w:t>10.企业生活污水，包括洗浴等污水及餐饮废水等统一收集，经处理后达标排放或纳入市政污水管网。</w:t>
      </w:r>
    </w:p>
    <w:p>
      <w:pPr>
        <w:spacing w:line="490" w:lineRule="exact"/>
        <w:ind w:firstLine="560" w:firstLineChars="200"/>
        <w:rPr>
          <w:rFonts w:ascii="仿宋_GB2312" w:hAnsi="仿宋_GB2312" w:cs="仿宋_GB2312"/>
          <w:kern w:val="0"/>
          <w:sz w:val="28"/>
          <w:szCs w:val="28"/>
        </w:rPr>
      </w:pPr>
      <w:r>
        <w:rPr>
          <w:rFonts w:hint="eastAsia" w:ascii="仿宋_GB2312" w:hAnsi="仿宋_GB2312" w:cs="仿宋_GB2312"/>
          <w:kern w:val="0"/>
          <w:sz w:val="28"/>
          <w:szCs w:val="28"/>
        </w:rPr>
        <w:t>11.化工、电镀、造纸、印染、制革等重污染企业生产、工艺废水输送管道应实现明管化、地面化。其中：印染企业应建有清下水（冷却水、冷凝水）及废水回收装置，重复用水率不低于35%，非棉项目不低于50%。造纸企业应采用白水回收、工艺水串级循环使用等措施，纸机白水重复利用率不小于90%，综合废水重复利用率不小于60%。</w:t>
      </w:r>
    </w:p>
    <w:p>
      <w:pPr>
        <w:spacing w:line="490" w:lineRule="exact"/>
        <w:ind w:firstLine="560" w:firstLineChars="200"/>
        <w:rPr>
          <w:rFonts w:ascii="仿宋_GB2312" w:hAnsi="仿宋_GB2312" w:cs="仿宋_GB2312"/>
          <w:kern w:val="0"/>
          <w:sz w:val="28"/>
          <w:szCs w:val="28"/>
        </w:rPr>
      </w:pPr>
      <w:r>
        <w:rPr>
          <w:rFonts w:hint="eastAsia" w:ascii="仿宋_GB2312" w:hAnsi="仿宋_GB2312" w:cs="仿宋_GB2312"/>
          <w:kern w:val="0"/>
          <w:sz w:val="28"/>
          <w:szCs w:val="28"/>
        </w:rPr>
        <w:t>12.企业废水排放口设置规范，按要求设置标志标牌。</w:t>
      </w:r>
    </w:p>
    <w:p>
      <w:pPr>
        <w:spacing w:line="490" w:lineRule="exact"/>
        <w:ind w:firstLine="560" w:firstLineChars="200"/>
        <w:rPr>
          <w:rFonts w:ascii="仿宋_GB2312" w:hAnsi="仿宋_GB2312" w:cs="仿宋_GB2312"/>
          <w:kern w:val="0"/>
          <w:sz w:val="28"/>
          <w:szCs w:val="28"/>
        </w:rPr>
      </w:pPr>
      <w:r>
        <w:rPr>
          <w:rFonts w:hint="eastAsia" w:ascii="仿宋_GB2312" w:hAnsi="仿宋_GB2312" w:cs="仿宋_GB2312"/>
          <w:kern w:val="0"/>
          <w:sz w:val="28"/>
          <w:szCs w:val="28"/>
        </w:rPr>
        <w:t>13.具有入海排污口的企业，依法通过审批，按要求开展入海排污口规范化建设。</w:t>
      </w:r>
    </w:p>
    <w:p>
      <w:pPr>
        <w:spacing w:line="490" w:lineRule="exact"/>
        <w:ind w:firstLine="560" w:firstLineChars="200"/>
        <w:rPr>
          <w:kern w:val="0"/>
          <w:sz w:val="28"/>
          <w:szCs w:val="28"/>
        </w:rPr>
      </w:pPr>
      <w:r>
        <w:rPr>
          <w:rFonts w:hint="eastAsia" w:ascii="仿宋_GB2312" w:hAnsi="仿宋_GB2312" w:cs="仿宋_GB2312"/>
          <w:kern w:val="0"/>
          <w:sz w:val="28"/>
          <w:szCs w:val="28"/>
        </w:rPr>
        <w:t>本指导意见由萧山区环保局负责解释。</w:t>
      </w:r>
    </w:p>
    <w:p>
      <w:pPr>
        <w:pStyle w:val="8"/>
        <w:ind w:firstLine="0" w:firstLineChars="0"/>
        <w:outlineLvl w:val="9"/>
      </w:pPr>
      <w:r>
        <w:rPr>
          <w:rFonts w:ascii="仿宋_GB2312"/>
        </w:rPr>
        <w:br w:type="page"/>
      </w:r>
      <w:r>
        <w:rPr>
          <w:rFonts w:hint="eastAsia" w:ascii="楷体" w:hAnsi="楷体" w:eastAsia="楷体" w:cs="楷体"/>
        </w:rPr>
        <w:t>附件3</w:t>
      </w:r>
    </w:p>
    <w:p>
      <w:pPr>
        <w:pStyle w:val="7"/>
        <w:rPr>
          <w:color w:val="auto"/>
          <w:sz w:val="36"/>
        </w:rPr>
      </w:pPr>
    </w:p>
    <w:p>
      <w:pPr>
        <w:pStyle w:val="7"/>
        <w:rPr>
          <w:rFonts w:ascii="黑体" w:hAnsi="黑体" w:eastAsia="黑体" w:cs="黑体"/>
          <w:color w:val="auto"/>
          <w:sz w:val="36"/>
        </w:rPr>
      </w:pPr>
      <w:r>
        <w:rPr>
          <w:rFonts w:hint="eastAsia" w:ascii="黑体" w:hAnsi="黑体" w:eastAsia="黑体" w:cs="黑体"/>
          <w:color w:val="auto"/>
          <w:sz w:val="36"/>
        </w:rPr>
        <w:t>萧山区生活小区类和其他类“污水零直排区”</w:t>
      </w:r>
    </w:p>
    <w:p>
      <w:pPr>
        <w:pStyle w:val="7"/>
        <w:rPr>
          <w:rFonts w:ascii="黑体" w:hAnsi="黑体" w:eastAsia="黑体" w:cs="黑体"/>
          <w:color w:val="auto"/>
          <w:sz w:val="36"/>
        </w:rPr>
      </w:pPr>
      <w:r>
        <w:rPr>
          <w:rFonts w:hint="eastAsia" w:ascii="黑体" w:hAnsi="黑体" w:eastAsia="黑体" w:cs="黑体"/>
          <w:color w:val="auto"/>
          <w:sz w:val="36"/>
        </w:rPr>
        <w:t>建设改造指导意见</w:t>
      </w:r>
    </w:p>
    <w:p>
      <w:pPr>
        <w:jc w:val="center"/>
        <w:rPr>
          <w:rFonts w:ascii="仿宋_GB2312" w:hAnsi="宋体"/>
        </w:rPr>
      </w:pPr>
      <w:r>
        <w:rPr>
          <w:rFonts w:hint="eastAsia" w:ascii="楷体" w:hAnsi="楷体" w:eastAsia="楷体" w:cs="楷体"/>
        </w:rPr>
        <w:t>（试行）</w:t>
      </w:r>
    </w:p>
    <w:p>
      <w:pPr>
        <w:pStyle w:val="8"/>
        <w:spacing w:line="520" w:lineRule="exact"/>
        <w:ind w:firstLine="602"/>
        <w:rPr>
          <w:rFonts w:hint="eastAsia" w:ascii="仿宋" w:hAnsi="仿宋" w:eastAsia="仿宋" w:cs="仿宋"/>
          <w:b/>
          <w:bCs w:val="0"/>
          <w:sz w:val="28"/>
          <w:szCs w:val="28"/>
        </w:rPr>
      </w:pPr>
      <w:r>
        <w:rPr>
          <w:rFonts w:hint="eastAsia" w:ascii="仿宋" w:hAnsi="仿宋" w:eastAsia="仿宋" w:cs="仿宋"/>
          <w:b/>
          <w:bCs w:val="0"/>
          <w:sz w:val="28"/>
          <w:szCs w:val="28"/>
        </w:rPr>
        <w:t>一、总则</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1.本指导意见在现行国家相关标准下执行，涉及景区、文保等区域及排水户改造不得与现行国家法律规范相抵触。</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2.采用雨污分流排水体制，改造应“统筹考虑、因地制宜”，综合考虑雨、污水排放需求。</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3.以问题为导向，选择工艺先进、施工方便、开挖量小的施工工艺和方法，减少施工对城市环境和居民出行造成的影响。</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4.对2年内拆迁改造和确因条件限制难以实施改造的区域、排水户，应根据具体情况，因地制宜建设临时截污设施，截流倍数原则上不大于2；对大市政尚未配套区域，应对污水进行收集，并采用生化池等处理设施，达标后排放。</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5.对因客观条件限制，无法按照本指导意见实施改造的区域、排水户，须提供专家论证材料并报主管部门备案。</w:t>
      </w:r>
    </w:p>
    <w:p>
      <w:pPr>
        <w:pStyle w:val="8"/>
        <w:spacing w:line="520" w:lineRule="exact"/>
        <w:ind w:firstLine="602"/>
        <w:rPr>
          <w:rFonts w:hint="eastAsia" w:ascii="仿宋" w:hAnsi="仿宋" w:eastAsia="仿宋" w:cs="仿宋"/>
          <w:b/>
          <w:bCs w:val="0"/>
          <w:sz w:val="28"/>
          <w:szCs w:val="28"/>
        </w:rPr>
      </w:pPr>
      <w:r>
        <w:rPr>
          <w:rFonts w:hint="eastAsia" w:ascii="仿宋" w:hAnsi="仿宋" w:eastAsia="仿宋" w:cs="仿宋"/>
          <w:b/>
          <w:bCs w:val="0"/>
          <w:sz w:val="28"/>
          <w:szCs w:val="28"/>
        </w:rPr>
        <w:t>二、既有生活小区</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1.既有生活小区包括已经交付使用的新旧商品房、农转居安置小区、整改后保留的城中村、特色小镇等。</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2.改造区域已有雨、污水管道的，对照问题清单，对错接、混接、破损、渗漏等问题进行整改修复，不得设置或新增合流制的截污设施；对现有合流制截污设施，查清源头，逐一分流后取消。</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3.改造区域内只有一根合流管的，改造后须形成雨、污水两套独立的排水系统。原管道能满足使用条件的，宜保留做为雨水管使用，若原管道已不能满足使用条件的，须整体实施改造。受客观条件限制，改造区域内无法同时埋设两根管道的，在确保污水收集的情况下，可采用散排或雨水沟（渠）排放，不得合流。</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4.对现状无化粪池的小区，原则要求增设化粪池；对增设条件不足的，在接入市政污水预留井前须增加格栅。</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5.屋面雨水管须独立设置，接入室外雨水系统，严禁其他废水排入。</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对多层住宅建筑阳台排水与屋顶雨水采用同一立管时，应增加立管进行雨污分流。增设立管做雨水管用时，统筹考虑屋面雨水排放需求，优先采用原有雨水斗，避免破坏原有排水檐沟，原有立管从屋顶雨水斗下断开，做为阳台污水管用；增设立管做污水管用时，综合考虑所有住户污水接入需求，并将原有错接至雨水立管的污水进行改接。</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对高层、小高层住宅建筑阳台排水与屋顶雨水采用同一立管时，因增加立管存在困难的，须在小区地下单独设置管道收集该立管排水，与原有地面雨水系统分离，并在该管道系统接入市政管道前设置可控的自动化设施，控制该排水系统做到晴天进污水管、雨天进雨水管。</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6.垃圾房（清洗点）应密闭化改造，垃圾房（清洗点）内四周须设置排水及沉淀过滤设施。</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对无条件改造的露天垃圾堆放点（清洗点），在设置专用冲洗水收集及沉淀过滤设施的基础上，还须设置有防止雨水混入的装置。</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7.空调冷凝水、景观水池水应排入雨水系统。</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8.不得设置露天洗衣台（点），对现状确需保留的，须设置洗衣废水收集设施，并设置有防止雨水混入的装置。</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9.对现状无排水系统或排水系统存在缺陷的小区配套公建（含小区内商铺及小区裙楼底商铺），应通过改造，单独设置排水系统接入市政管网，并设置相应预处理设施，不得与小区共用管道；对现状已设置排水系统并接入小区排水管道的，按照最小干预的原则进行分离改造，消除其排水对小区排水的不利影响（具体改造要求根据排水户性质，参照本指导意见其他类执行）。</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10.小区道路下新改建D300及以上管道，原则上不得采用塑料管材，绿化带、非通车区域道路下新改建管道，可采用便捷快速施工的管材及成品拼装井。</w:t>
      </w:r>
    </w:p>
    <w:p>
      <w:pPr>
        <w:pStyle w:val="8"/>
        <w:spacing w:line="520" w:lineRule="exact"/>
        <w:ind w:firstLine="602"/>
        <w:rPr>
          <w:rFonts w:hint="eastAsia" w:ascii="仿宋" w:hAnsi="仿宋" w:eastAsia="仿宋" w:cs="仿宋"/>
          <w:b/>
          <w:bCs w:val="0"/>
          <w:sz w:val="28"/>
          <w:szCs w:val="28"/>
        </w:rPr>
      </w:pPr>
      <w:r>
        <w:rPr>
          <w:rFonts w:hint="eastAsia" w:ascii="仿宋" w:hAnsi="仿宋" w:eastAsia="仿宋" w:cs="仿宋"/>
          <w:b/>
          <w:bCs w:val="0"/>
          <w:sz w:val="28"/>
          <w:szCs w:val="28"/>
        </w:rPr>
        <w:t>三、新建小区</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1.采用雨污分流制排水系统，建有完善的雨、污水排水管网，管网走向明确。雨、污水管及污水井、泵站等附属设施运行正常。</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2.居民楼宇阳（露）台排水管道应分设，做到雨污分流，确保污（废）水接入污水管网。有屋顶绿化和屋顶种植养殖条件的楼宇，阳台排水立管应延伸至屋顶，要有防止屋面雨水进入污（废）管的措施。</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3.住宅区块范围内雨水排放要满足海绵城市建设要求，实现区块内年径流总量控制率和年悬浮物（SS）总量控制率达标。</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4.居民楼宇有从事餐饮经营的场所（配置排油烟通道的场所）生活污水和厨房污水要分流，厨房污水必须按规范经隔油池预处理后，方可排入市政污水管道。</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5.新建生活小区的排水（雨、污水）设施应有完善的设计、施工、验收等档案资料。排水体系应纳入小区日常物业管理。</w:t>
      </w:r>
    </w:p>
    <w:p>
      <w:pPr>
        <w:pStyle w:val="8"/>
        <w:spacing w:line="520" w:lineRule="exact"/>
        <w:ind w:firstLine="602"/>
        <w:rPr>
          <w:rFonts w:hint="eastAsia" w:ascii="仿宋" w:hAnsi="仿宋" w:eastAsia="仿宋" w:cs="仿宋"/>
          <w:b/>
          <w:bCs w:val="0"/>
          <w:sz w:val="28"/>
          <w:szCs w:val="28"/>
        </w:rPr>
      </w:pPr>
      <w:r>
        <w:rPr>
          <w:rFonts w:hint="eastAsia" w:ascii="仿宋" w:hAnsi="仿宋" w:eastAsia="仿宋" w:cs="仿宋"/>
          <w:b/>
          <w:bCs w:val="0"/>
          <w:sz w:val="28"/>
          <w:szCs w:val="28"/>
        </w:rPr>
        <w:t>四、其他类</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1.其他类包括商用楼宇、公建设施、医院、学校、农贸市场、机关事业单位、在建工地、各小行业、工业企业（园区外）等。</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2.餐饮业及产生油污的行业，污水须按规范经隔油池预处理后，方可排入市政污水管道。对美食一条街等餐饮聚集区，在各商家出口隔油池后，宜统一设管道收集，接入中央隔油池后再接入市政污水管道。</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3.对夜宵一条街、餐饮集中区等易发生倾倒的区域，宜设置集中倾倒点，收集后接入污水系统。</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4.对宾馆、美容美发、洗浴等场所产生的污水，应经室外毛发聚集井（器）后，方可排入市政污水管道。</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5.洗车行业，原则要求在室内设置冲洗场地，四周设置排水沟收集冲洗污水，经沉淀过滤后接入污水系统；对室外洗车场地，在设置专用洗车废水收集及沉淀过滤设施的基础上，还须设置有防止雨水混入的装置。</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6.医院污水应先进行包括消毒在内的预处理，出水达标后接入市政污水管道。</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7.农贸市场内经营产生的各类污水、冲洗水等须进入污水系统，同时要设置隔油池、格栅等设施，避免杂物进入污水系统。</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8.工地排水须严格实行分质排水，对生活污水要设置相应隔油池和化粪池并接入市政污水管道；施工现场泥浆水须外运处置，不得排入市政管道；施工基坑水、地下水经三级沉淀达标后排入雨水管道，严禁直排管道或河道。</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9.对垃圾中转站等环卫设施排放的污水，应设置专用废水收集及沉淀过滤设施，并设置有防止雨水混入的装置。</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10.大型综合体要实行雨、污、废分离，厕所污水与餐饮废水须分系统排放，按照最高时水量排放要求设置相应的化粪池和隔油池，在接入市政污水井前还需加装格栅井。</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11.工业园区（工业集聚区）类以外工业企业参照《杭州市工业园区（工业集聚区）类“污水零直排区”建设指导意见》。</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12.其他类中涉及的垃圾房（清洗点）、空调冷凝水、景观水池、露天洗衣台（点）等排水参照本指导意见既有生活小区类执行。</w:t>
      </w:r>
    </w:p>
    <w:p>
      <w:pPr>
        <w:pStyle w:val="8"/>
        <w:spacing w:line="520" w:lineRule="exact"/>
        <w:ind w:firstLine="602"/>
        <w:rPr>
          <w:rFonts w:hint="eastAsia" w:ascii="仿宋" w:hAnsi="仿宋" w:eastAsia="仿宋" w:cs="仿宋"/>
          <w:b/>
          <w:bCs w:val="0"/>
          <w:sz w:val="28"/>
          <w:szCs w:val="28"/>
        </w:rPr>
      </w:pPr>
      <w:r>
        <w:rPr>
          <w:rFonts w:hint="eastAsia" w:ascii="仿宋" w:hAnsi="仿宋" w:eastAsia="仿宋" w:cs="仿宋"/>
          <w:b/>
          <w:bCs w:val="0"/>
          <w:sz w:val="28"/>
          <w:szCs w:val="28"/>
        </w:rPr>
        <w:t>五、长效管理</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1.建立实施生活小区类雨水、污水管网定期巡查、整改机制，落实管理责任、养护经费和养护人员（机构），确定管理和养护职责。</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2.无大市政配套设置的生化池、高层（小高层）阳台水治理设置的自动化设施及相关露天防止雨水混入污水系统的装置，须建立专门的管养机制，落实专人，统一管理和养护。</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3.建立排水管理、养护、执法“三合一”联动机制，结合河长制、湖长制，发现并查处违章排水行为。</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4.其他类须严格执行排水许可证制度，做到“应领尽领”。</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5.落实其他类排水许可批后监管责任，按照排水户批后监管要求开展定期水质检测和雨污分流检查工作；建立其他类排水许可全覆盖管理，落实业态调整后的排水许可证变更申领和督办工作。</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6.建立“污水零直排区”档案管理制度，对排水户分类建档，实现排水户档案的精细化、系统化、信息化和智慧化管理。</w:t>
      </w:r>
    </w:p>
    <w:p>
      <w:pPr>
        <w:spacing w:line="52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本指导意见由区住建局会同区城管局负责解释。</w:t>
      </w:r>
    </w:p>
    <w:p>
      <w:pPr>
        <w:spacing w:line="560" w:lineRule="exact"/>
        <w:ind w:firstLine="560" w:firstLineChars="200"/>
        <w:rPr>
          <w:rFonts w:hint="eastAsia" w:ascii="仿宋" w:hAnsi="仿宋" w:eastAsia="仿宋" w:cs="仿宋"/>
          <w:sz w:val="28"/>
          <w:szCs w:val="28"/>
        </w:rPr>
        <w:sectPr>
          <w:pgSz w:w="11906" w:h="16838"/>
          <w:pgMar w:top="1440" w:right="1800" w:bottom="1440" w:left="1800" w:header="851" w:footer="992" w:gutter="0"/>
          <w:cols w:space="720" w:num="1"/>
          <w:docGrid w:type="lines" w:linePitch="312" w:charSpace="0"/>
        </w:sectPr>
      </w:pPr>
    </w:p>
    <w:p>
      <w:pPr>
        <w:pStyle w:val="8"/>
        <w:ind w:firstLine="0" w:firstLineChars="0"/>
        <w:outlineLvl w:val="9"/>
        <w:rPr>
          <w:rFonts w:hint="eastAsia" w:ascii="仿宋" w:hAnsi="仿宋" w:eastAsia="仿宋" w:cs="仿宋"/>
          <w:sz w:val="28"/>
          <w:szCs w:val="28"/>
        </w:rPr>
      </w:pPr>
      <w:r>
        <w:rPr>
          <w:rFonts w:hint="eastAsia" w:ascii="仿宋" w:hAnsi="仿宋" w:eastAsia="仿宋" w:cs="仿宋"/>
          <w:sz w:val="28"/>
          <w:szCs w:val="28"/>
        </w:rPr>
        <w:t>附件4</w:t>
      </w:r>
    </w:p>
    <w:p>
      <w:pPr>
        <w:pStyle w:val="10"/>
        <w:ind w:firstLine="640"/>
        <w:rPr>
          <w:rFonts w:hint="eastAsia" w:ascii="仿宋" w:hAnsi="仿宋" w:eastAsia="仿宋" w:cs="仿宋"/>
          <w:color w:val="auto"/>
          <w:sz w:val="28"/>
          <w:szCs w:val="28"/>
        </w:rPr>
      </w:pPr>
    </w:p>
    <w:p>
      <w:pPr>
        <w:pStyle w:val="7"/>
        <w:rPr>
          <w:rFonts w:hint="eastAsia" w:ascii="宋体" w:hAnsi="宋体" w:eastAsia="宋体" w:cs="宋体"/>
          <w:b/>
          <w:bCs/>
          <w:color w:val="auto"/>
          <w:sz w:val="36"/>
          <w:szCs w:val="36"/>
        </w:rPr>
      </w:pPr>
      <w:r>
        <w:rPr>
          <w:rFonts w:hint="eastAsia" w:ascii="宋体" w:hAnsi="宋体" w:eastAsia="宋体" w:cs="宋体"/>
          <w:b/>
          <w:bCs/>
          <w:color w:val="auto"/>
          <w:sz w:val="36"/>
          <w:szCs w:val="36"/>
        </w:rPr>
        <w:t>萧山区“污水零直排区”建设验收办法</w:t>
      </w:r>
    </w:p>
    <w:p>
      <w:pPr>
        <w:pStyle w:val="10"/>
        <w:ind w:firstLine="640"/>
        <w:rPr>
          <w:rFonts w:hint="eastAsia" w:ascii="仿宋" w:hAnsi="仿宋" w:eastAsia="仿宋" w:cs="仿宋"/>
          <w:color w:val="auto"/>
          <w:sz w:val="28"/>
          <w:szCs w:val="28"/>
        </w:rPr>
      </w:pP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为加强“污水零直排区”建设验收管理，明确验收条件与验收职责，规范验收程序，提高验收质量，确保“污水零直排区”建设成效，制定本办法。</w:t>
      </w:r>
    </w:p>
    <w:p>
      <w:pPr>
        <w:pStyle w:val="8"/>
        <w:spacing w:line="490" w:lineRule="exact"/>
        <w:ind w:firstLine="602"/>
        <w:rPr>
          <w:rFonts w:hint="eastAsia" w:ascii="仿宋" w:hAnsi="仿宋" w:eastAsia="仿宋" w:cs="仿宋"/>
          <w:b/>
          <w:bCs w:val="0"/>
          <w:sz w:val="28"/>
          <w:szCs w:val="28"/>
        </w:rPr>
      </w:pPr>
      <w:r>
        <w:rPr>
          <w:rFonts w:hint="eastAsia" w:ascii="仿宋" w:hAnsi="仿宋" w:eastAsia="仿宋" w:cs="仿宋"/>
          <w:b/>
          <w:bCs w:val="0"/>
          <w:sz w:val="28"/>
          <w:szCs w:val="28"/>
        </w:rPr>
        <w:t>一、验收范围</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本办法适用于工业园区（工业集聚区）类、生活小区类和其他类建设单元，以及镇（街道）的整体建设验收。</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工业园区（工业集聚区）类包括：各类工业园区、工业集聚区及其中的工业企业。</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生活小区类包括：新老小区、城中村、特色小镇、建制镇建成区等各类住宅区块。</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其他类包括：工业园区（工业集聚区）和生活小区类以外的其他产生污水的企事业单位和个体经营户（如餐饮、宾馆、洗浴、洗车修理、农贸市场、沿街店铺等）。</w:t>
      </w:r>
    </w:p>
    <w:p>
      <w:pPr>
        <w:pStyle w:val="8"/>
        <w:spacing w:line="490" w:lineRule="exact"/>
        <w:ind w:firstLine="602"/>
        <w:rPr>
          <w:rFonts w:hint="eastAsia" w:ascii="仿宋" w:hAnsi="仿宋" w:eastAsia="仿宋" w:cs="仿宋"/>
          <w:b/>
          <w:bCs w:val="0"/>
          <w:sz w:val="28"/>
          <w:szCs w:val="28"/>
        </w:rPr>
      </w:pPr>
      <w:r>
        <w:rPr>
          <w:rFonts w:hint="eastAsia" w:ascii="仿宋" w:hAnsi="仿宋" w:eastAsia="仿宋" w:cs="仿宋"/>
          <w:b/>
          <w:bCs w:val="0"/>
          <w:sz w:val="28"/>
          <w:szCs w:val="28"/>
        </w:rPr>
        <w:t>二、验收条件</w:t>
      </w:r>
    </w:p>
    <w:p>
      <w:pPr>
        <w:pStyle w:val="9"/>
        <w:spacing w:line="490" w:lineRule="exact"/>
        <w:ind w:firstLine="600"/>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（一）工业园区（工业集聚区）类，生活小区类和其他类建设单元</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分别满足各自的建设要求。</w:t>
      </w:r>
    </w:p>
    <w:p>
      <w:pPr>
        <w:pStyle w:val="9"/>
        <w:spacing w:line="490" w:lineRule="exact"/>
        <w:ind w:firstLine="600"/>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（二）镇（街道）</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1.辖区内工业园区（工业集聚区）类，生活小区类和其他类等三大类建设单元完成建设。</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2.入网排水户的排水许可证审查核发基本完成。</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3.辖区内雨污管网基本全覆盖，基本实现辖区内雨污全分流、污水全收集、全处理。</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4.落实管网养护单位和养护资金。</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5.入河（湖库）排污（水）口整治全面到位，全面实现入河（湖库）排污（水）口身份证式管理，沿河排水口无污水排放。</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6.建成较为完善的污水零直排长效运维管理机制，辖区内相关数据上传至排水管网信息化管理系统。</w:t>
      </w:r>
    </w:p>
    <w:p>
      <w:pPr>
        <w:pStyle w:val="8"/>
        <w:spacing w:line="490" w:lineRule="exact"/>
        <w:ind w:firstLine="602"/>
        <w:rPr>
          <w:rFonts w:hint="eastAsia" w:ascii="仿宋" w:hAnsi="仿宋" w:eastAsia="仿宋" w:cs="仿宋"/>
          <w:b/>
          <w:bCs w:val="0"/>
          <w:sz w:val="28"/>
          <w:szCs w:val="28"/>
        </w:rPr>
      </w:pPr>
      <w:r>
        <w:rPr>
          <w:rFonts w:hint="eastAsia" w:ascii="仿宋" w:hAnsi="仿宋" w:eastAsia="仿宋" w:cs="仿宋"/>
          <w:b/>
          <w:bCs w:val="0"/>
          <w:sz w:val="28"/>
          <w:szCs w:val="28"/>
        </w:rPr>
        <w:t>三、验收组织与方式</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根据“属地负责、层级管理”原则，按照清单化管理、建设好一个验收一个的要求开展验收工作。</w:t>
      </w:r>
    </w:p>
    <w:p>
      <w:pPr>
        <w:pStyle w:val="9"/>
        <w:spacing w:line="490" w:lineRule="exact"/>
        <w:ind w:firstLine="600"/>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（一）工业园区（工业集聚区）类，生活小区类和其他类三大类建设单元</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自查达到验收条件后，省级以下工业园区、生活小区类和其他类建设单元由区治水办组织行业主管部门以及建设工作技术组人员组成验收组开展复核验收，省级及以上工业园区由市治水办组织市级行业主管部门以及建设工作技术组人员组成验收组开展复核验收。</w:t>
      </w:r>
    </w:p>
    <w:p>
      <w:pPr>
        <w:pStyle w:val="9"/>
        <w:spacing w:line="490" w:lineRule="exact"/>
        <w:ind w:firstLine="600"/>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（二）镇（街道）</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镇（街道）自查达到验收条件后，向区治水办提出验收申请，由区治水办组织县级相关部门及建设工作技术组进行全面复核。复核一般包括台帐资料审核、三大类建设单元现场核查等。复核合格的，在当地主要媒体上进行公示，公示期一般为5天，有举报信访情况的经核实整改后，予以验收。</w:t>
      </w:r>
    </w:p>
    <w:p>
      <w:pPr>
        <w:pStyle w:val="8"/>
        <w:spacing w:line="490" w:lineRule="exact"/>
        <w:ind w:firstLine="602"/>
        <w:rPr>
          <w:rFonts w:hint="eastAsia" w:ascii="仿宋" w:hAnsi="仿宋" w:eastAsia="仿宋" w:cs="仿宋"/>
          <w:b/>
          <w:bCs w:val="0"/>
          <w:sz w:val="28"/>
          <w:szCs w:val="28"/>
        </w:rPr>
      </w:pPr>
      <w:r>
        <w:rPr>
          <w:rFonts w:hint="eastAsia" w:ascii="仿宋" w:hAnsi="仿宋" w:eastAsia="仿宋" w:cs="仿宋"/>
          <w:b/>
          <w:bCs w:val="0"/>
          <w:sz w:val="28"/>
          <w:szCs w:val="28"/>
        </w:rPr>
        <w:t>四、验收申请材料</w:t>
      </w:r>
    </w:p>
    <w:p>
      <w:pPr>
        <w:pStyle w:val="9"/>
        <w:spacing w:line="490" w:lineRule="exact"/>
        <w:ind w:firstLine="600"/>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（一）三大类建设单元</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1.调查技术报告及相关测绘图纸资料。</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2.建设方案，包括各单元各行业目录、问题清单、任务清单、项目清单、责任清单等汇编。</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3.项目工程设计、工程竣工验收、工程监理等相关档案资料。</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4.排水户环评审批、排水许可证相关资料。</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5.长效管理机制材料。</w:t>
      </w:r>
    </w:p>
    <w:p>
      <w:pPr>
        <w:spacing w:line="49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6.验收证明。</w:t>
      </w:r>
    </w:p>
    <w:p>
      <w:pPr>
        <w:pStyle w:val="9"/>
        <w:spacing w:line="490" w:lineRule="exact"/>
        <w:ind w:firstLine="600"/>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（二）镇（街道）</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1.各类建设单元调查技术报告。</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2.总体建设方案，包括各类单元建设分方案、问题清单、任务清单、项目清单、责任清单等汇编。</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3.主要项目工程设计、工程竣工验收、工程监理等相关档案资料。</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4.排水户环评审批、排水许可证发放相关资料。</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5.三大类建设单元验收证明。</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6.入河（湖库）排污（水）口整治相关资料、排水管网信息化系统和长效管理机制材料、公示证明等。</w:t>
      </w:r>
    </w:p>
    <w:p>
      <w:pPr>
        <w:pStyle w:val="8"/>
        <w:spacing w:line="490" w:lineRule="exact"/>
        <w:ind w:firstLine="602"/>
        <w:rPr>
          <w:rFonts w:hint="eastAsia" w:ascii="仿宋" w:hAnsi="仿宋" w:eastAsia="仿宋" w:cs="仿宋"/>
          <w:b/>
          <w:bCs w:val="0"/>
          <w:sz w:val="28"/>
          <w:szCs w:val="28"/>
        </w:rPr>
      </w:pPr>
      <w:r>
        <w:rPr>
          <w:rFonts w:hint="eastAsia" w:ascii="仿宋" w:hAnsi="仿宋" w:eastAsia="仿宋" w:cs="仿宋"/>
          <w:b/>
          <w:bCs w:val="0"/>
          <w:sz w:val="28"/>
          <w:szCs w:val="28"/>
        </w:rPr>
        <w:t>五、验收工作要求</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1.各镇街、场（平台）务必要精心组织，严格把关，成熟一个验收一个。严格执行“污水零直排区”动态管理制度，对已建设成功的单位定期不定期进行复查，有问题的限期整改。</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2.区治水办、区住建局、区城管局、区环保局、区农业局、区农水局、区发改局、区财政局、区经信局、区教育局、区科技局、区国土局、区交通运输局、区商务局、区卫计局、区市场监管局、区旅游局、区规划局、区环境集团等部门要切实加强对建设工作的监督、检查与指导，全过程加强对工程建设质量，特别是隐蔽工程的审核把关。</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3.区治水办要会同纪检监察等有关部门，加大对建设行动的督查督办，发现问题及时纠正。对有把关不严、弄虚作假情况的，一经查实，将追究有关责任人责任。</w:t>
      </w:r>
    </w:p>
    <w:p>
      <w:pPr>
        <w:spacing w:line="49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本办法由萧山区“五水共治”工作领导小组办公室（萧山区河长制办公室）负责解释。</w:t>
      </w:r>
    </w:p>
    <w:p>
      <w:pPr>
        <w:spacing w:line="560" w:lineRule="exact"/>
        <w:rPr>
          <w:rFonts w:hint="eastAsia" w:ascii="仿宋" w:hAnsi="仿宋" w:eastAsia="仿宋" w:cs="仿宋"/>
          <w:color w:val="000000"/>
          <w:kern w:val="0"/>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微软雅黑"/>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tabs>
        <w:tab w:val="right" w:pos="8426"/>
      </w:tabs>
      <w:rPr>
        <w:sz w:val="28"/>
        <w:szCs w:val="28"/>
      </w:rPr>
    </w:pPr>
    <w:r>
      <w:rPr>
        <w:sz w:val="28"/>
      </w:rPr>
      <w:pict>
        <v:shape id="_x0000_s3073" o:spid="_x0000_s3073"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DzzfY5wQIAANYFAAAOAAAAAAAA&#10;AAEAIAAAAB8BAABkcnMvZTJvRG9jLnhtbFBLBQYAAAAABgAGAFkBAABSBgAAAAA=&#10;">
          <v:path/>
          <v:fill on="f" focussize="0,0"/>
          <v:stroke on="f" weight="0.5pt" joinstyle="miter"/>
          <v:imagedata o:title=""/>
          <o:lock v:ext="edit"/>
          <v:textbox inset="0mm,0mm,0mm,0mm" style="mso-fit-shape-to-text:t;">
            <w:txbxContent>
              <w:p>
                <w:pPr>
                  <w:pStyle w:val="3"/>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txbxContent>
          </v:textbox>
        </v:shape>
      </w:pict>
    </w:r>
    <w:r>
      <w:rPr>
        <w:rFonts w:hint="eastAsia"/>
        <w:sz w:val="28"/>
        <w:szCs w:val="28"/>
      </w:rPr>
      <w:tab/>
    </w:r>
    <w:r>
      <w:rPr>
        <w:rFonts w:hint="eastAsia"/>
        <w:sz w:val="28"/>
        <w:szCs w:val="28"/>
      </w:rPr>
      <w:tab/>
    </w: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sz w:val="28"/>
        <w:szCs w:val="28"/>
      </w:rPr>
    </w:pPr>
    <w:r>
      <w:rPr>
        <w:sz w:val="28"/>
        <w:szCs w:val="28"/>
      </w:rPr>
      <w:fldChar w:fldCharType="begin"/>
    </w:r>
    <w:r>
      <w:rPr>
        <w:sz w:val="28"/>
        <w:szCs w:val="28"/>
      </w:rPr>
      <w:instrText xml:space="preserve">PAGE   \* MERGEFORMAT</w:instrText>
    </w:r>
    <w:r>
      <w:rPr>
        <w:sz w:val="28"/>
        <w:szCs w:val="28"/>
      </w:rPr>
      <w:fldChar w:fldCharType="separate"/>
    </w:r>
    <w:r>
      <w:t>- 2 -</w:t>
    </w:r>
    <w:r>
      <w:rPr>
        <w:sz w:val="28"/>
        <w:szCs w:val="28"/>
      </w:rPr>
      <w:fldChar w:fldCharType="end"/>
    </w:r>
  </w:p>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8E8FA9"/>
    <w:multiLevelType w:val="singleLevel"/>
    <w:tmpl w:val="3A8E8FA9"/>
    <w:lvl w:ilvl="0" w:tentative="0">
      <w:start w:val="1"/>
      <w:numFmt w:val="decimal"/>
      <w:suff w:val="nothing"/>
      <w:lvlText w:val="（%1）"/>
      <w:lvlJc w:val="left"/>
    </w:lvl>
  </w:abstractNum>
  <w:abstractNum w:abstractNumId="1">
    <w:nsid w:val="5ABB4A16"/>
    <w:multiLevelType w:val="singleLevel"/>
    <w:tmpl w:val="5ABB4A16"/>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788E7E52"/>
    <w:rsid w:val="00170570"/>
    <w:rsid w:val="00423504"/>
    <w:rsid w:val="00535A9E"/>
    <w:rsid w:val="005565DA"/>
    <w:rsid w:val="008E4CD8"/>
    <w:rsid w:val="009A22A8"/>
    <w:rsid w:val="00CF4DAC"/>
    <w:rsid w:val="00D311E0"/>
    <w:rsid w:val="00F12E1C"/>
    <w:rsid w:val="01F2767C"/>
    <w:rsid w:val="049672FA"/>
    <w:rsid w:val="09C3497F"/>
    <w:rsid w:val="0D52686F"/>
    <w:rsid w:val="0FE4430D"/>
    <w:rsid w:val="16BD4CEB"/>
    <w:rsid w:val="27E317D0"/>
    <w:rsid w:val="2BD14FC2"/>
    <w:rsid w:val="2D3D1FAB"/>
    <w:rsid w:val="2EAD1345"/>
    <w:rsid w:val="362401B8"/>
    <w:rsid w:val="41410DC6"/>
    <w:rsid w:val="41CB5986"/>
    <w:rsid w:val="44A04C5F"/>
    <w:rsid w:val="474760AB"/>
    <w:rsid w:val="49FC668E"/>
    <w:rsid w:val="4A5A0BFD"/>
    <w:rsid w:val="564701D9"/>
    <w:rsid w:val="5A2B4DAE"/>
    <w:rsid w:val="5A8E5FDC"/>
    <w:rsid w:val="6D535020"/>
    <w:rsid w:val="788E7E52"/>
    <w:rsid w:val="7C92429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5">
    <w:name w:val="Default Paragraph Font"/>
    <w:semiHidden/>
    <w:unhideWhenUsed/>
    <w:qFormat/>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11"/>
    <w:qFormat/>
    <w:uiPriority w:val="0"/>
    <w:rPr>
      <w:sz w:val="18"/>
      <w:szCs w:val="18"/>
    </w:r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7">
    <w:name w:val="一级标题"/>
    <w:basedOn w:val="1"/>
    <w:qFormat/>
    <w:uiPriority w:val="0"/>
    <w:pPr>
      <w:snapToGrid w:val="0"/>
      <w:jc w:val="center"/>
      <w:outlineLvl w:val="0"/>
    </w:pPr>
    <w:rPr>
      <w:rFonts w:ascii="方正小标宋简体" w:eastAsia="方正小标宋简体"/>
      <w:color w:val="000000"/>
      <w:sz w:val="44"/>
      <w:szCs w:val="44"/>
    </w:rPr>
  </w:style>
  <w:style w:type="paragraph" w:customStyle="1" w:styleId="8">
    <w:name w:val="二级标题"/>
    <w:basedOn w:val="1"/>
    <w:qFormat/>
    <w:uiPriority w:val="0"/>
    <w:pPr>
      <w:spacing w:line="560" w:lineRule="exact"/>
      <w:ind w:firstLine="200" w:firstLineChars="200"/>
      <w:outlineLvl w:val="1"/>
    </w:pPr>
    <w:rPr>
      <w:rFonts w:eastAsia="黑体" w:cs="黑体"/>
      <w:bCs/>
      <w:szCs w:val="24"/>
    </w:rPr>
  </w:style>
  <w:style w:type="paragraph" w:customStyle="1" w:styleId="9">
    <w:name w:val="三级标题"/>
    <w:basedOn w:val="1"/>
    <w:qFormat/>
    <w:uiPriority w:val="0"/>
    <w:pPr>
      <w:spacing w:line="560" w:lineRule="exact"/>
      <w:ind w:firstLine="200" w:firstLineChars="200"/>
      <w:outlineLvl w:val="2"/>
    </w:pPr>
    <w:rPr>
      <w:rFonts w:eastAsia="楷体_GB2312"/>
      <w:color w:val="000000"/>
    </w:rPr>
  </w:style>
  <w:style w:type="paragraph" w:customStyle="1" w:styleId="10">
    <w:name w:val="正文01"/>
    <w:basedOn w:val="1"/>
    <w:qFormat/>
    <w:uiPriority w:val="0"/>
    <w:pPr>
      <w:spacing w:line="560" w:lineRule="exact"/>
      <w:ind w:firstLine="200" w:firstLineChars="200"/>
    </w:pPr>
    <w:rPr>
      <w:rFonts w:ascii="Calibri" w:hAnsi="Calibri" w:cs="黑体"/>
      <w:color w:val="000000"/>
    </w:rPr>
  </w:style>
  <w:style w:type="character" w:customStyle="1" w:styleId="11">
    <w:name w:val="批注框文本 Char"/>
    <w:basedOn w:val="5"/>
    <w:link w:val="2"/>
    <w:qFormat/>
    <w:uiPriority w:val="0"/>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1.bin"/><Relationship Id="rId8" Type="http://schemas.openxmlformats.org/officeDocument/2006/relationships/image" Target="media/image1.tiff"/><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emf"/><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3"/>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Company>微软中国</Company>
  <Pages>33</Pages>
  <Words>16519</Words>
  <Characters>16815</Characters>
  <Lines>122</Lines>
  <Paragraphs>34</Paragraphs>
  <TotalTime>2</TotalTime>
  <ScaleCrop>false</ScaleCrop>
  <LinksUpToDate>false</LinksUpToDate>
  <CharactersWithSpaces>17204</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2018-07-22T04:22:00Z</dcterms:created>
  <dc:creator>Administrator</dc:creator>
  <cp:lastModifiedBy>Administrator</cp:lastModifiedBy>
  <cp:lastPrinted>2018-09-03T00:45:00Z</cp:lastPrinted>
  <dcterms:modified xsi:type="dcterms:W3CDTF">2018-09-12T08:39:07Z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